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45270">
      <w:pPr>
        <w:spacing w:line="360" w:lineRule="auto"/>
        <w:jc w:val="center"/>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道路雷达数据AI自动化分析系统采购服务</w:t>
      </w:r>
    </w:p>
    <w:p w14:paraId="11720147">
      <w:pPr>
        <w:spacing w:line="360" w:lineRule="auto"/>
        <w:jc w:val="center"/>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19D0257D">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68836120">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ascii="Times New Roman" w:hAnsi="Times New Roman" w:eastAsia="宋体" w:cs="Times New Roman"/>
          <w:sz w:val="24"/>
        </w:rPr>
      </w:pPr>
      <w:bookmarkStart w:id="0" w:name="OLE_LINK35"/>
      <w:bookmarkStart w:id="1" w:name="OLE_LINK34"/>
      <w:r>
        <w:rPr>
          <w:rFonts w:hint="eastAsia" w:ascii="Times New Roman" w:hAnsi="Times New Roman" w:eastAsia="宋体" w:cs="Times New Roman"/>
          <w:sz w:val="24"/>
          <w:lang w:val="en-US" w:eastAsia="zh-CN"/>
        </w:rPr>
        <w:t>1</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1</w:t>
      </w:r>
      <w:r>
        <w:rPr>
          <w:rFonts w:hint="eastAsia" w:cs="Times New Roman"/>
          <w:sz w:val="24"/>
          <w:lang w:val="en-US" w:eastAsia="zh-CN"/>
        </w:rPr>
        <w:t>服务期：系统以及应用平台搭设服务期90天，维护期3年。</w:t>
      </w:r>
    </w:p>
    <w:p w14:paraId="3546A5AD">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1</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2</w:t>
      </w:r>
      <w:r>
        <w:rPr>
          <w:rFonts w:hint="eastAsia" w:cs="Times New Roman"/>
          <w:sz w:val="24"/>
          <w:lang w:val="en-US" w:eastAsia="zh-CN"/>
        </w:rPr>
        <w:t>询价</w:t>
      </w:r>
      <w:r>
        <w:rPr>
          <w:rFonts w:hint="eastAsia" w:ascii="Times New Roman" w:hAnsi="Times New Roman" w:eastAsia="宋体" w:cs="Times New Roman"/>
          <w:sz w:val="24"/>
        </w:rPr>
        <w:t>范围：</w:t>
      </w:r>
      <w:r>
        <w:rPr>
          <w:rFonts w:hint="eastAsia" w:cs="Times New Roman"/>
          <w:sz w:val="24"/>
          <w:lang w:val="en-US" w:eastAsia="zh-CN"/>
        </w:rPr>
        <w:t>道路雷达数据AI自动化分析系统采购服务</w:t>
      </w:r>
      <w:r>
        <w:rPr>
          <w:rFonts w:hint="eastAsia" w:ascii="Times New Roman" w:hAnsi="Times New Roman" w:eastAsia="宋体" w:cs="Times New Roman"/>
          <w:sz w:val="24"/>
        </w:rPr>
        <w:t>。</w:t>
      </w:r>
    </w:p>
    <w:p w14:paraId="284BB093">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rPr>
      </w:pPr>
      <w:r>
        <w:rPr>
          <w:rFonts w:hint="eastAsia" w:ascii="Times New Roman" w:hAnsi="Times New Roman" w:eastAsia="宋体" w:cs="Times New Roman"/>
          <w:sz w:val="24"/>
          <w:lang w:val="en-US" w:eastAsia="zh-CN"/>
        </w:rPr>
        <w:t>1</w:t>
      </w:r>
      <w:r>
        <w:rPr>
          <w:rFonts w:hint="eastAsia" w:ascii="Times New Roman" w:hAnsi="Times New Roman" w:eastAsia="宋体" w:cs="Times New Roman"/>
          <w:sz w:val="24"/>
        </w:rPr>
        <w:t>.</w:t>
      </w:r>
      <w:r>
        <w:rPr>
          <w:rFonts w:hint="eastAsia" w:ascii="Times New Roman" w:hAnsi="Times New Roman" w:eastAsia="宋体" w:cs="Times New Roman"/>
          <w:sz w:val="24"/>
          <w:lang w:val="en-US" w:eastAsia="zh-CN"/>
        </w:rPr>
        <w:t>3</w:t>
      </w:r>
      <w:r>
        <w:rPr>
          <w:rFonts w:hint="eastAsia" w:cs="Times New Roman"/>
          <w:sz w:val="24"/>
          <w:lang w:val="en-US" w:eastAsia="zh-CN"/>
        </w:rPr>
        <w:t>服务</w:t>
      </w:r>
      <w:r>
        <w:rPr>
          <w:rFonts w:hint="eastAsia" w:ascii="Times New Roman" w:hAnsi="Times New Roman" w:eastAsia="宋体" w:cs="Times New Roman"/>
          <w:sz w:val="24"/>
        </w:rPr>
        <w:t>地点：</w:t>
      </w:r>
      <w:r>
        <w:rPr>
          <w:rFonts w:hint="eastAsia" w:ascii="Times New Roman" w:hAnsi="Times New Roman" w:eastAsia="宋体" w:cs="Times New Roman"/>
          <w:sz w:val="24"/>
          <w:lang w:eastAsia="zh-CN"/>
        </w:rPr>
        <w:t>广州市</w:t>
      </w:r>
      <w:r>
        <w:rPr>
          <w:rFonts w:hint="eastAsia" w:ascii="Times New Roman" w:hAnsi="Times New Roman" w:eastAsia="宋体" w:cs="Times New Roman"/>
          <w:sz w:val="24"/>
        </w:rPr>
        <w:t>。</w:t>
      </w:r>
    </w:p>
    <w:p w14:paraId="17874451">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1.4最高限价：</w:t>
      </w:r>
      <w:r>
        <w:rPr>
          <w:rFonts w:hint="eastAsia" w:cs="Times New Roman"/>
          <w:sz w:val="24"/>
          <w:lang w:val="en-US" w:eastAsia="zh-CN"/>
        </w:rPr>
        <w:t>99</w:t>
      </w:r>
      <w:r>
        <w:rPr>
          <w:rFonts w:hint="eastAsia" w:ascii="Times New Roman" w:hAnsi="Times New Roman" w:eastAsia="宋体" w:cs="Times New Roman"/>
          <w:sz w:val="24"/>
          <w:lang w:val="en-US" w:eastAsia="zh-CN"/>
        </w:rPr>
        <w:t>万元</w:t>
      </w:r>
    </w:p>
    <w:p w14:paraId="28A53448">
      <w:pPr>
        <w:keepNext w:val="0"/>
        <w:keepLines w:val="0"/>
        <w:pageBreakBefore w:val="0"/>
        <w:widowControl w:val="0"/>
        <w:kinsoku/>
        <w:wordWrap/>
        <w:overflowPunct/>
        <w:autoSpaceDE/>
        <w:autoSpaceDN/>
        <w:bidi w:val="0"/>
        <w:adjustRightInd/>
        <w:snapToGrid/>
        <w:spacing w:line="360" w:lineRule="auto"/>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39E46D02">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项目情况：为了整合塌陷探测资源，提高雷达数据分析与病害体判别质量及效率，降低道路塌陷风险，解决钻孔验证与道路塌陷应急频发等工作任务，现需搭建一套道路雷达数据AI自动化分析系统，对系统及应用平台进行定制型开发，提供系统和应用平台的源代码，同时协助采购人完成知识产权、专利等多类型科研项目申报，具体工作内容如下：</w:t>
      </w:r>
    </w:p>
    <w:p w14:paraId="26AAA94E">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（1）提供系统和应用平台搭设部署，其功能参数等至少包含如下内容：</w:t>
      </w:r>
    </w:p>
    <w:tbl>
      <w:tblPr>
        <w:tblStyle w:val="10"/>
        <w:tblW w:w="10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2006"/>
        <w:gridCol w:w="6036"/>
      </w:tblGrid>
      <w:tr w14:paraId="16AD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blHeader/>
          <w:jc w:val="center"/>
        </w:trPr>
        <w:tc>
          <w:tcPr>
            <w:tcW w:w="2459" w:type="dxa"/>
            <w:shd w:val="clear" w:color="auto" w:fill="D7D7D7"/>
            <w:noWrap w:val="0"/>
            <w:vAlign w:val="center"/>
          </w:tcPr>
          <w:p w14:paraId="75716394">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功能名称</w:t>
            </w:r>
          </w:p>
        </w:tc>
        <w:tc>
          <w:tcPr>
            <w:tcW w:w="2006" w:type="dxa"/>
            <w:shd w:val="clear" w:color="auto" w:fill="D7D7D7"/>
            <w:noWrap w:val="0"/>
            <w:vAlign w:val="center"/>
          </w:tcPr>
          <w:p w14:paraId="3A7AA84E">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功能模块</w:t>
            </w:r>
          </w:p>
        </w:tc>
        <w:tc>
          <w:tcPr>
            <w:tcW w:w="6036" w:type="dxa"/>
            <w:shd w:val="clear" w:color="auto" w:fill="D7D7D7"/>
            <w:noWrap w:val="0"/>
            <w:vAlign w:val="center"/>
          </w:tcPr>
          <w:p w14:paraId="6096B930">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功能内容</w:t>
            </w:r>
          </w:p>
        </w:tc>
      </w:tr>
      <w:tr w14:paraId="7AC3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2459" w:type="dxa"/>
            <w:vMerge w:val="restart"/>
            <w:noWrap w:val="0"/>
            <w:vAlign w:val="center"/>
          </w:tcPr>
          <w:p w14:paraId="78D8940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道路雷达数据AI自动化分析解译系统</w:t>
            </w:r>
          </w:p>
        </w:tc>
        <w:tc>
          <w:tcPr>
            <w:tcW w:w="2006" w:type="dxa"/>
            <w:noWrap w:val="0"/>
            <w:vAlign w:val="center"/>
          </w:tcPr>
          <w:p w14:paraId="5A0AB268">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数据读取</w:t>
            </w:r>
          </w:p>
        </w:tc>
        <w:tc>
          <w:tcPr>
            <w:tcW w:w="6036" w:type="dxa"/>
            <w:noWrap w:val="0"/>
            <w:vAlign w:val="center"/>
          </w:tcPr>
          <w:p w14:paraId="304CFC8A">
            <w:pPr>
              <w:keepNext w:val="0"/>
              <w:keepLines w:val="0"/>
              <w:pageBreakBefore w:val="0"/>
              <w:widowControl w:val="0"/>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1、支持impulseradar Raptor系列Raptor-17、Raptor-45等不同类型三维地质雷达数据格式读取</w:t>
            </w:r>
          </w:p>
          <w:p w14:paraId="501252AA">
            <w:pPr>
              <w:keepNext w:val="0"/>
              <w:keepLines w:val="0"/>
              <w:pageBreakBefore w:val="0"/>
              <w:widowControl w:val="0"/>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2、支持impulseradar CO系列二维地质雷达等数据格式读取</w:t>
            </w:r>
          </w:p>
          <w:p w14:paraId="10F4FD83">
            <w:pPr>
              <w:keepNext w:val="0"/>
              <w:keepLines w:val="0"/>
              <w:pageBreakBefore w:val="0"/>
              <w:widowControl w:val="0"/>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3、支持多类型、多型号的雷达数据读取</w:t>
            </w:r>
          </w:p>
        </w:tc>
      </w:tr>
      <w:tr w14:paraId="0BAF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2459" w:type="dxa"/>
            <w:vMerge w:val="continue"/>
            <w:noWrap w:val="0"/>
            <w:vAlign w:val="center"/>
          </w:tcPr>
          <w:p w14:paraId="7782F497">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7123247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数据预处理</w:t>
            </w:r>
          </w:p>
        </w:tc>
        <w:tc>
          <w:tcPr>
            <w:tcW w:w="6036" w:type="dxa"/>
            <w:noWrap w:val="0"/>
            <w:vAlign w:val="center"/>
          </w:tcPr>
          <w:p w14:paraId="471C0C2C">
            <w:pPr>
              <w:keepNext w:val="0"/>
              <w:keepLines w:val="0"/>
              <w:pageBreakBefore w:val="0"/>
              <w:widowControl w:val="0"/>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1、支持自动判定数据格式，并启动对应数据处理流程</w:t>
            </w:r>
          </w:p>
          <w:p w14:paraId="07485373">
            <w:pPr>
              <w:keepNext w:val="0"/>
              <w:keepLines w:val="0"/>
              <w:pageBreakBefore w:val="0"/>
              <w:widowControl w:val="0"/>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2、数据自动处理流程可编辑</w:t>
            </w:r>
          </w:p>
          <w:p w14:paraId="16775045">
            <w:pPr>
              <w:keepNext w:val="0"/>
              <w:keepLines w:val="0"/>
              <w:pageBreakBefore w:val="0"/>
              <w:widowControl w:val="0"/>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3、具备自动静校正切除（去直达波）功能、自动增益功能、自动背景去除功能、带通滤波功能、图像归一化处理功能</w:t>
            </w:r>
          </w:p>
        </w:tc>
      </w:tr>
      <w:tr w14:paraId="2318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2459" w:type="dxa"/>
            <w:vMerge w:val="continue"/>
            <w:noWrap w:val="0"/>
            <w:vAlign w:val="center"/>
          </w:tcPr>
          <w:p w14:paraId="2D38C5D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50D0009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数据展示</w:t>
            </w:r>
          </w:p>
        </w:tc>
        <w:tc>
          <w:tcPr>
            <w:tcW w:w="6036" w:type="dxa"/>
            <w:noWrap w:val="0"/>
            <w:vAlign w:val="center"/>
          </w:tcPr>
          <w:p w14:paraId="5B58C738">
            <w:pPr>
              <w:keepNext w:val="0"/>
              <w:keepLines w:val="0"/>
              <w:pageBreakBefore w:val="0"/>
              <w:widowControl w:val="0"/>
              <w:numPr>
                <w:ilvl w:val="0"/>
                <w:numId w:val="1"/>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页面布局支持自定义设置</w:t>
            </w:r>
          </w:p>
          <w:p w14:paraId="310C6E85">
            <w:pPr>
              <w:keepNext w:val="0"/>
              <w:keepLines w:val="0"/>
              <w:pageBreakBefore w:val="0"/>
              <w:widowControl w:val="0"/>
              <w:numPr>
                <w:ilvl w:val="0"/>
                <w:numId w:val="1"/>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同时展示多通道剖面图，显示通道及图像深度可配置</w:t>
            </w:r>
          </w:p>
          <w:p w14:paraId="36AB0BE1">
            <w:pPr>
              <w:keepNext w:val="0"/>
              <w:keepLines w:val="0"/>
              <w:pageBreakBefore w:val="0"/>
              <w:widowControl w:val="0"/>
              <w:numPr>
                <w:ilvl w:val="0"/>
                <w:numId w:val="1"/>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同时展示多深度水平切片图，层间隔可设置</w:t>
            </w:r>
          </w:p>
          <w:p w14:paraId="4DEA0AE7">
            <w:pPr>
              <w:keepNext w:val="0"/>
              <w:keepLines w:val="0"/>
              <w:pageBreakBefore w:val="0"/>
              <w:widowControl w:val="0"/>
              <w:numPr>
                <w:ilvl w:val="0"/>
                <w:numId w:val="1"/>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支持视频图像同步展示，远近景可切换、支持图像增益调节、对比度调节、支持多测线整体水平切片图合成展示</w:t>
            </w:r>
          </w:p>
        </w:tc>
      </w:tr>
      <w:tr w14:paraId="002C6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2459" w:type="dxa"/>
            <w:vMerge w:val="continue"/>
            <w:noWrap w:val="0"/>
            <w:vAlign w:val="center"/>
          </w:tcPr>
          <w:p w14:paraId="3D17232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4E83BA8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数据查阅与标注</w:t>
            </w:r>
          </w:p>
        </w:tc>
        <w:tc>
          <w:tcPr>
            <w:tcW w:w="6036" w:type="dxa"/>
            <w:noWrap w:val="0"/>
            <w:vAlign w:val="center"/>
          </w:tcPr>
          <w:p w14:paraId="2F51FC1A">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支持自动数据播放方式，播放速度可调整</w:t>
            </w:r>
          </w:p>
          <w:p w14:paraId="6F252203">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支持手动普通数据播放及翻页数据播放方式</w:t>
            </w:r>
          </w:p>
          <w:p w14:paraId="2B91587E">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支持按测线号及对应的道号、距离定点查询</w:t>
            </w:r>
          </w:p>
          <w:p w14:paraId="58368C63">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支持速览模式（只查阅已标注异常体数据）</w:t>
            </w:r>
          </w:p>
          <w:p w14:paraId="2E70506B">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具备在各通道剖面图进行标注的功能，标注时，对应位置的水平切片图和近景图像同步标注</w:t>
            </w:r>
          </w:p>
          <w:p w14:paraId="0B4DB944">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支持远近景图像切换、支持对标注框进行删除、调整大小等操作以及标签自定义</w:t>
            </w:r>
          </w:p>
          <w:p w14:paraId="5B366D4F">
            <w:pPr>
              <w:keepNext w:val="0"/>
              <w:keepLines w:val="0"/>
              <w:pageBreakBefore w:val="0"/>
              <w:widowControl w:val="0"/>
              <w:numPr>
                <w:ilvl w:val="0"/>
                <w:numId w:val="2"/>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支持对标注框标签进行调整</w:t>
            </w:r>
          </w:p>
        </w:tc>
      </w:tr>
      <w:tr w14:paraId="135AA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2459" w:type="dxa"/>
            <w:vMerge w:val="continue"/>
            <w:noWrap w:val="0"/>
            <w:vAlign w:val="center"/>
          </w:tcPr>
          <w:p w14:paraId="76AE12A0">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25DD35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信息卡生成</w:t>
            </w:r>
          </w:p>
        </w:tc>
        <w:tc>
          <w:tcPr>
            <w:tcW w:w="6036" w:type="dxa"/>
            <w:noWrap w:val="0"/>
            <w:vAlign w:val="center"/>
          </w:tcPr>
          <w:p w14:paraId="1DA6EB47">
            <w:pPr>
              <w:keepNext w:val="0"/>
              <w:keepLines w:val="0"/>
              <w:pageBreakBefore w:val="0"/>
              <w:widowControl w:val="0"/>
              <w:numPr>
                <w:ilvl w:val="0"/>
                <w:numId w:val="3"/>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支持对全部或部分已标注数据自动生成汇总统计表及信息记录卡</w:t>
            </w:r>
          </w:p>
          <w:p w14:paraId="333E9B8C">
            <w:pPr>
              <w:keepNext w:val="0"/>
              <w:keepLines w:val="0"/>
              <w:pageBreakBefore w:val="0"/>
              <w:widowControl w:val="0"/>
              <w:numPr>
                <w:ilvl w:val="0"/>
                <w:numId w:val="3"/>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统计表及信息记录卡模板支持定制</w:t>
            </w:r>
          </w:p>
          <w:p w14:paraId="429050FF">
            <w:pPr>
              <w:keepNext w:val="0"/>
              <w:keepLines w:val="0"/>
              <w:pageBreakBefore w:val="0"/>
              <w:widowControl w:val="0"/>
              <w:numPr>
                <w:ilvl w:val="0"/>
                <w:numId w:val="3"/>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信息记录卡内容包括位置、大小、埋深、坐标、类型等信息以及相应的雷达图谱、实景图像、地图标注等</w:t>
            </w:r>
          </w:p>
          <w:p w14:paraId="1A41695D">
            <w:pPr>
              <w:keepNext w:val="0"/>
              <w:keepLines w:val="0"/>
              <w:pageBreakBefore w:val="0"/>
              <w:widowControl w:val="0"/>
              <w:numPr>
                <w:ilvl w:val="0"/>
                <w:numId w:val="3"/>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支持在生成的地图位置标注中自动增加测线方向信息</w:t>
            </w:r>
          </w:p>
          <w:p w14:paraId="1FFA1A7B">
            <w:pPr>
              <w:keepNext w:val="0"/>
              <w:keepLines w:val="0"/>
              <w:pageBreakBefore w:val="0"/>
              <w:widowControl w:val="0"/>
              <w:numPr>
                <w:ilvl w:val="0"/>
                <w:numId w:val="3"/>
              </w:numPr>
              <w:kinsoku/>
              <w:wordWrap/>
              <w:overflowPunct/>
              <w:topLinePunct/>
              <w:autoSpaceDE/>
              <w:autoSpaceDN/>
              <w:bidi w:val="0"/>
              <w:adjustRightInd/>
              <w:snapToGrid/>
              <w:spacing w:line="360" w:lineRule="auto"/>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支持对信息卡自动编号及手动编号</w:t>
            </w:r>
          </w:p>
        </w:tc>
      </w:tr>
      <w:tr w14:paraId="18A38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2459" w:type="dxa"/>
            <w:vMerge w:val="continue"/>
            <w:noWrap w:val="0"/>
            <w:vAlign w:val="top"/>
          </w:tcPr>
          <w:p w14:paraId="112862F6">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796004E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整体功能</w:t>
            </w:r>
          </w:p>
        </w:tc>
        <w:tc>
          <w:tcPr>
            <w:tcW w:w="6036" w:type="dxa"/>
            <w:noWrap w:val="0"/>
            <w:vAlign w:val="center"/>
          </w:tcPr>
          <w:p w14:paraId="0600D0F8">
            <w:pPr>
              <w:keepNext w:val="0"/>
              <w:keepLines w:val="0"/>
              <w:pageBreakBefore w:val="0"/>
              <w:widowControl w:val="0"/>
              <w:numPr>
                <w:ilvl w:val="0"/>
                <w:numId w:val="4"/>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支持独立运行模式及在综合管理平台中调用模式</w:t>
            </w:r>
          </w:p>
          <w:p w14:paraId="70C8F93B">
            <w:pPr>
              <w:keepNext w:val="0"/>
              <w:keepLines w:val="0"/>
              <w:pageBreakBefore w:val="0"/>
              <w:widowControl w:val="0"/>
              <w:numPr>
                <w:ilvl w:val="0"/>
                <w:numId w:val="4"/>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支持AI自动识别系统对接，对AI识别结果自动标注</w:t>
            </w:r>
          </w:p>
        </w:tc>
      </w:tr>
      <w:tr w14:paraId="4F3D5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459" w:type="dxa"/>
            <w:vMerge w:val="restart"/>
            <w:noWrap w:val="0"/>
            <w:vAlign w:val="center"/>
          </w:tcPr>
          <w:p w14:paraId="618E3B8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AI雷达数据识别系统</w:t>
            </w:r>
          </w:p>
        </w:tc>
        <w:tc>
          <w:tcPr>
            <w:tcW w:w="2006" w:type="dxa"/>
            <w:noWrap w:val="0"/>
            <w:vAlign w:val="center"/>
          </w:tcPr>
          <w:p w14:paraId="5315BF5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基础模型</w:t>
            </w:r>
          </w:p>
        </w:tc>
        <w:tc>
          <w:tcPr>
            <w:tcW w:w="6036" w:type="dxa"/>
            <w:noWrap w:val="0"/>
            <w:vAlign w:val="center"/>
          </w:tcPr>
          <w:p w14:paraId="225B56F2">
            <w:pPr>
              <w:keepNext w:val="0"/>
              <w:keepLines w:val="0"/>
              <w:pageBreakBefore w:val="0"/>
              <w:widowControl w:val="0"/>
              <w:numPr>
                <w:ilvl w:val="0"/>
                <w:numId w:val="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支持空洞、脱空、疏松体等地下隐患的自动识别</w:t>
            </w:r>
          </w:p>
          <w:p w14:paraId="25930E99">
            <w:pPr>
              <w:keepNext w:val="0"/>
              <w:keepLines w:val="0"/>
              <w:pageBreakBefore w:val="0"/>
              <w:widowControl w:val="0"/>
              <w:numPr>
                <w:ilvl w:val="0"/>
                <w:numId w:val="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支持地下管线、管井等构筑物的自动识别</w:t>
            </w:r>
          </w:p>
          <w:p w14:paraId="4BD0C83D">
            <w:pPr>
              <w:keepNext w:val="0"/>
              <w:keepLines w:val="0"/>
              <w:pageBreakBefore w:val="0"/>
              <w:widowControl w:val="0"/>
              <w:numPr>
                <w:ilvl w:val="0"/>
                <w:numId w:val="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根据不同数据类型，分别开发对应的基础模型</w:t>
            </w:r>
          </w:p>
          <w:p w14:paraId="1CCCFA55">
            <w:pPr>
              <w:keepNext w:val="0"/>
              <w:keepLines w:val="0"/>
              <w:pageBreakBefore w:val="0"/>
              <w:widowControl w:val="0"/>
              <w:numPr>
                <w:ilvl w:val="0"/>
                <w:numId w:val="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基础模型综合识别准确率不低于80%</w:t>
            </w:r>
          </w:p>
          <w:p w14:paraId="6D27D5AD">
            <w:pPr>
              <w:keepNext w:val="0"/>
              <w:keepLines w:val="0"/>
              <w:pageBreakBefore w:val="0"/>
              <w:widowControl w:val="0"/>
              <w:numPr>
                <w:ilvl w:val="0"/>
                <w:numId w:val="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识别处理速度不低于1分钟/测线公里（1张3090显卡）</w:t>
            </w:r>
          </w:p>
        </w:tc>
      </w:tr>
      <w:tr w14:paraId="359F2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459" w:type="dxa"/>
            <w:vMerge w:val="continue"/>
            <w:noWrap w:val="0"/>
            <w:vAlign w:val="center"/>
          </w:tcPr>
          <w:p w14:paraId="094AB530">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41817AB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模型训练与迭代</w:t>
            </w:r>
          </w:p>
        </w:tc>
        <w:tc>
          <w:tcPr>
            <w:tcW w:w="6036" w:type="dxa"/>
            <w:noWrap w:val="0"/>
            <w:vAlign w:val="center"/>
          </w:tcPr>
          <w:p w14:paraId="2F626162">
            <w:pPr>
              <w:keepNext w:val="0"/>
              <w:keepLines w:val="0"/>
              <w:pageBreakBefore w:val="0"/>
              <w:widowControl w:val="0"/>
              <w:numPr>
                <w:ilvl w:val="0"/>
                <w:numId w:val="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具备样本标注工具，可对平台中的数据进行标注，用于模型训练</w:t>
            </w:r>
          </w:p>
          <w:p w14:paraId="147DC05D">
            <w:pPr>
              <w:keepNext w:val="0"/>
              <w:keepLines w:val="0"/>
              <w:pageBreakBefore w:val="0"/>
              <w:widowControl w:val="0"/>
              <w:numPr>
                <w:ilvl w:val="0"/>
                <w:numId w:val="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支持自动训练与手动训练方式</w:t>
            </w:r>
          </w:p>
          <w:p w14:paraId="589DB952">
            <w:pPr>
              <w:keepNext w:val="0"/>
              <w:keepLines w:val="0"/>
              <w:pageBreakBefore w:val="0"/>
              <w:widowControl w:val="0"/>
              <w:numPr>
                <w:ilvl w:val="0"/>
                <w:numId w:val="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训练次数及模型参数可调整，训练完成后，显示模型主要指标</w:t>
            </w:r>
          </w:p>
          <w:p w14:paraId="5859A4B7">
            <w:pPr>
              <w:keepNext w:val="0"/>
              <w:keepLines w:val="0"/>
              <w:pageBreakBefore w:val="0"/>
              <w:widowControl w:val="0"/>
              <w:numPr>
                <w:ilvl w:val="0"/>
                <w:numId w:val="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用户参照模型性能指标，选择模型版本进行迭代升级</w:t>
            </w:r>
          </w:p>
        </w:tc>
      </w:tr>
      <w:tr w14:paraId="54A81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2459" w:type="dxa"/>
            <w:vMerge w:val="continue"/>
            <w:noWrap w:val="0"/>
            <w:vAlign w:val="center"/>
          </w:tcPr>
          <w:p w14:paraId="276A1E55">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1CE447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整体功能</w:t>
            </w:r>
          </w:p>
        </w:tc>
        <w:tc>
          <w:tcPr>
            <w:tcW w:w="6036" w:type="dxa"/>
            <w:noWrap w:val="0"/>
            <w:vAlign w:val="center"/>
          </w:tcPr>
          <w:p w14:paraId="5AD1FA5E">
            <w:pPr>
              <w:keepNext w:val="0"/>
              <w:keepLines w:val="0"/>
              <w:pageBreakBefore w:val="0"/>
              <w:widowControl w:val="0"/>
              <w:numPr>
                <w:ilvl w:val="0"/>
                <w:numId w:val="7"/>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支持平台部署方式及单机部署方式</w:t>
            </w:r>
          </w:p>
          <w:p w14:paraId="7EB8CDB4">
            <w:pPr>
              <w:keepNext w:val="0"/>
              <w:keepLines w:val="0"/>
              <w:pageBreakBefore w:val="0"/>
              <w:widowControl w:val="0"/>
              <w:numPr>
                <w:ilvl w:val="0"/>
                <w:numId w:val="7"/>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平台部署方式下，可自启动对已经完成预处理的数据进行AI识别</w:t>
            </w:r>
          </w:p>
          <w:p w14:paraId="76D8013D">
            <w:pPr>
              <w:keepNext w:val="0"/>
              <w:keepLines w:val="0"/>
              <w:pageBreakBefore w:val="0"/>
              <w:widowControl w:val="0"/>
              <w:numPr>
                <w:ilvl w:val="0"/>
                <w:numId w:val="7"/>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支持接入三维地质雷达数据处理解译系统</w:t>
            </w:r>
          </w:p>
          <w:p w14:paraId="464D63C9">
            <w:pPr>
              <w:keepNext w:val="0"/>
              <w:keepLines w:val="0"/>
              <w:pageBreakBefore w:val="0"/>
              <w:widowControl w:val="0"/>
              <w:numPr>
                <w:ilvl w:val="0"/>
                <w:numId w:val="7"/>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支持置信度阈值调节，系统根据设置的阈值加载对应的识别结果</w:t>
            </w:r>
          </w:p>
          <w:p w14:paraId="5B84A6DE">
            <w:pPr>
              <w:keepNext w:val="0"/>
              <w:keepLines w:val="0"/>
              <w:pageBreakBefore w:val="0"/>
              <w:widowControl w:val="0"/>
              <w:numPr>
                <w:ilvl w:val="0"/>
                <w:numId w:val="7"/>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系统可根据选择的类型加载对应的识别结果</w:t>
            </w:r>
          </w:p>
        </w:tc>
      </w:tr>
      <w:tr w14:paraId="4471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459" w:type="dxa"/>
            <w:vMerge w:val="restart"/>
            <w:noWrap w:val="0"/>
            <w:vAlign w:val="center"/>
          </w:tcPr>
          <w:p w14:paraId="7E127008">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道路雷达车载路面视频影像系统</w:t>
            </w:r>
          </w:p>
        </w:tc>
        <w:tc>
          <w:tcPr>
            <w:tcW w:w="2006" w:type="dxa"/>
            <w:noWrap w:val="0"/>
            <w:vAlign w:val="center"/>
          </w:tcPr>
          <w:p w14:paraId="196D5F00">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采集控制</w:t>
            </w:r>
          </w:p>
        </w:tc>
        <w:tc>
          <w:tcPr>
            <w:tcW w:w="6036" w:type="dxa"/>
            <w:noWrap w:val="0"/>
            <w:vAlign w:val="center"/>
          </w:tcPr>
          <w:p w14:paraId="6BCDE350">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1、支持1-4路数字高清摄像机接入</w:t>
            </w:r>
          </w:p>
          <w:p w14:paraId="20FBEDE5">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2、支持impulseradar Raptor系列三维地质雷达</w:t>
            </w:r>
          </w:p>
          <w:p w14:paraId="23DD12D5">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3、支持根据雷达数据触发抓拍</w:t>
            </w:r>
          </w:p>
          <w:p w14:paraId="1C4E60FD">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4、图像分辨率可调；图像抓拍间隔可调；远、近景图像设置</w:t>
            </w:r>
          </w:p>
          <w:p w14:paraId="407592A8">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5、根据摄像机安装位置设置图像参数</w:t>
            </w:r>
          </w:p>
          <w:p w14:paraId="080A413E">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6、图像采集自动匹配雷达数据，测线切换时无需干预</w:t>
            </w:r>
          </w:p>
        </w:tc>
      </w:tr>
      <w:tr w14:paraId="0A538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459" w:type="dxa"/>
            <w:vMerge w:val="continue"/>
            <w:noWrap w:val="0"/>
            <w:vAlign w:val="center"/>
          </w:tcPr>
          <w:p w14:paraId="179A1A34">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227B9BD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联动查询</w:t>
            </w:r>
          </w:p>
        </w:tc>
        <w:tc>
          <w:tcPr>
            <w:tcW w:w="6036" w:type="dxa"/>
            <w:noWrap w:val="0"/>
            <w:vAlign w:val="center"/>
          </w:tcPr>
          <w:p w14:paraId="1EFA84E2">
            <w:pPr>
              <w:keepNext w:val="0"/>
              <w:keepLines w:val="0"/>
              <w:pageBreakBefore w:val="0"/>
              <w:widowControl w:val="0"/>
              <w:numPr>
                <w:ilvl w:val="0"/>
                <w:numId w:val="8"/>
              </w:numPr>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支持根据道号、距离查询对应图像</w:t>
            </w:r>
          </w:p>
          <w:p w14:paraId="1B599DB5">
            <w:pPr>
              <w:keepNext w:val="0"/>
              <w:keepLines w:val="0"/>
              <w:pageBreakBefore w:val="0"/>
              <w:widowControl w:val="0"/>
              <w:numPr>
                <w:ilvl w:val="0"/>
                <w:numId w:val="8"/>
              </w:numPr>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支持根据经纬度坐标、UTM坐标查询对应图像</w:t>
            </w:r>
          </w:p>
          <w:p w14:paraId="38A11784">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3、支持接入三维地质雷达数据处理解译系统，并与雷达数据联动</w:t>
            </w:r>
          </w:p>
        </w:tc>
      </w:tr>
      <w:tr w14:paraId="3EE0D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459" w:type="dxa"/>
            <w:vMerge w:val="continue"/>
            <w:noWrap w:val="0"/>
            <w:vAlign w:val="center"/>
          </w:tcPr>
          <w:p w14:paraId="3A0319B4">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2A2524CD">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同步标注</w:t>
            </w:r>
          </w:p>
        </w:tc>
        <w:tc>
          <w:tcPr>
            <w:tcW w:w="6036" w:type="dxa"/>
            <w:noWrap w:val="0"/>
            <w:vAlign w:val="center"/>
          </w:tcPr>
          <w:p w14:paraId="6CF388B1">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1、支持图像有效范围调整</w:t>
            </w:r>
          </w:p>
          <w:p w14:paraId="644EF40F">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2、支持根据道号、距离进行标注</w:t>
            </w:r>
          </w:p>
          <w:p w14:paraId="3030DB6D">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3.支持根据经纬度坐标、UTM坐标进行标注</w:t>
            </w:r>
          </w:p>
          <w:p w14:paraId="0CD0B8A8">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4、支持在三维地质雷达数据处理解译系统中根据雷达数据标注进行自动同步标注</w:t>
            </w:r>
          </w:p>
          <w:p w14:paraId="6C5DFB27">
            <w:pPr>
              <w:keepNext w:val="0"/>
              <w:keepLines w:val="0"/>
              <w:pageBreakBefore w:val="0"/>
              <w:widowControl w:val="0"/>
              <w:kinsoku/>
              <w:wordWrap/>
              <w:overflowPunct/>
              <w:topLinePunct/>
              <w:autoSpaceDE/>
              <w:autoSpaceDN/>
              <w:bidi w:val="0"/>
              <w:adjustRightInd/>
              <w:snapToGrid/>
              <w:spacing w:line="360" w:lineRule="auto"/>
              <w:ind w:firstLine="0" w:firstLineChars="0"/>
              <w:jc w:val="both"/>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5、图像标注与雷达数据标注位置匹配误差≤1米</w:t>
            </w:r>
          </w:p>
        </w:tc>
      </w:tr>
      <w:tr w14:paraId="1AD9E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459" w:type="dxa"/>
            <w:vMerge w:val="continue"/>
            <w:noWrap w:val="0"/>
            <w:vAlign w:val="center"/>
          </w:tcPr>
          <w:p w14:paraId="7DCA3EF2">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1CA9D3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配套设备材料</w:t>
            </w:r>
          </w:p>
        </w:tc>
        <w:tc>
          <w:tcPr>
            <w:tcW w:w="6036" w:type="dxa"/>
            <w:noWrap w:val="0"/>
            <w:vAlign w:val="center"/>
          </w:tcPr>
          <w:p w14:paraId="65B06535">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r>
              <w:rPr>
                <w:rFonts w:hint="eastAsia" w:ascii="Times New Roman" w:hAnsi="Times New Roman" w:eastAsia="宋体" w:cs="Times New Roman"/>
                <w:sz w:val="21"/>
                <w:szCs w:val="21"/>
                <w:lang w:val="en-US" w:eastAsia="zh-CN"/>
              </w:rPr>
              <w:t>雷达采集车配套2台摄像机、1台POE交换机（如采购人有新增雷达采集车，需配套相应数量的摄像机及POE交换机）</w:t>
            </w:r>
          </w:p>
          <w:p w14:paraId="40FED709">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2、摄像机帧率不低于25fps</w:t>
            </w:r>
          </w:p>
          <w:p w14:paraId="105BBEC3">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3、图像分辨率最高支持1920×1080</w:t>
            </w:r>
          </w:p>
          <w:p w14:paraId="6C700AD6">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4、摄像机采用POE供电方式</w:t>
            </w:r>
          </w:p>
          <w:p w14:paraId="6544BC7E">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5、摄像机配套强力磁吸盘、万向节</w:t>
            </w:r>
          </w:p>
        </w:tc>
      </w:tr>
      <w:tr w14:paraId="4A13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59" w:type="dxa"/>
            <w:vMerge w:val="restart"/>
            <w:noWrap w:val="0"/>
            <w:vAlign w:val="center"/>
          </w:tcPr>
          <w:p w14:paraId="1A256B4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道路地下病害体验证移动作业小程序或移动作业APP</w:t>
            </w:r>
          </w:p>
        </w:tc>
        <w:tc>
          <w:tcPr>
            <w:tcW w:w="2006" w:type="dxa"/>
            <w:noWrap w:val="0"/>
            <w:vAlign w:val="center"/>
          </w:tcPr>
          <w:p w14:paraId="2294DF0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任务接收</w:t>
            </w:r>
          </w:p>
        </w:tc>
        <w:tc>
          <w:tcPr>
            <w:tcW w:w="6036" w:type="dxa"/>
            <w:noWrap w:val="0"/>
            <w:vAlign w:val="center"/>
          </w:tcPr>
          <w:p w14:paraId="51AD985C">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r>
              <w:rPr>
                <w:rFonts w:hint="eastAsia" w:ascii="Times New Roman" w:hAnsi="Times New Roman" w:eastAsia="宋体" w:cs="Times New Roman"/>
                <w:sz w:val="21"/>
                <w:szCs w:val="21"/>
                <w:lang w:val="en-US" w:eastAsia="zh-CN"/>
              </w:rPr>
              <w:t>接收平台下发的复测验证任务数据</w:t>
            </w:r>
          </w:p>
          <w:p w14:paraId="172FE4FA">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2、可根据项目、道路选择并查看病害体信息</w:t>
            </w:r>
          </w:p>
          <w:p w14:paraId="24A10188">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3、病害体信息可通过列表、地图显示等方式展示</w:t>
            </w:r>
          </w:p>
        </w:tc>
      </w:tr>
      <w:tr w14:paraId="18BF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2459" w:type="dxa"/>
            <w:vMerge w:val="continue"/>
            <w:noWrap w:val="0"/>
            <w:vAlign w:val="center"/>
          </w:tcPr>
          <w:p w14:paraId="69AB382A">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7099FBE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移动端功能调用</w:t>
            </w:r>
          </w:p>
        </w:tc>
        <w:tc>
          <w:tcPr>
            <w:tcW w:w="6036" w:type="dxa"/>
            <w:noWrap w:val="0"/>
            <w:vAlign w:val="center"/>
          </w:tcPr>
          <w:p w14:paraId="6DB65794">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支持调用移动端导航地图软件、调用移动端输入法、调用移动端摄像头</w:t>
            </w:r>
          </w:p>
        </w:tc>
      </w:tr>
      <w:tr w14:paraId="64257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59" w:type="dxa"/>
            <w:vMerge w:val="continue"/>
            <w:noWrap w:val="0"/>
            <w:vAlign w:val="center"/>
          </w:tcPr>
          <w:p w14:paraId="6853989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42C123D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数据上报</w:t>
            </w:r>
          </w:p>
        </w:tc>
        <w:tc>
          <w:tcPr>
            <w:tcW w:w="6036" w:type="dxa"/>
            <w:noWrap w:val="0"/>
            <w:vAlign w:val="center"/>
          </w:tcPr>
          <w:p w14:paraId="390ABD9A">
            <w:pPr>
              <w:keepNext w:val="0"/>
              <w:keepLines w:val="0"/>
              <w:pageBreakBefore w:val="0"/>
              <w:widowControl w:val="0"/>
              <w:numPr>
                <w:ilvl w:val="0"/>
                <w:numId w:val="9"/>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支持复测验证结果数据编辑、上报</w:t>
            </w:r>
          </w:p>
          <w:p w14:paraId="7A584610">
            <w:pPr>
              <w:keepNext w:val="0"/>
              <w:keepLines w:val="0"/>
              <w:pageBreakBefore w:val="0"/>
              <w:widowControl w:val="0"/>
              <w:numPr>
                <w:ilvl w:val="0"/>
                <w:numId w:val="9"/>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支持病害体确认、排除状态选择</w:t>
            </w:r>
          </w:p>
          <w:p w14:paraId="09DD22D9">
            <w:pPr>
              <w:keepNext w:val="0"/>
              <w:keepLines w:val="0"/>
              <w:pageBreakBefore w:val="0"/>
              <w:widowControl w:val="0"/>
              <w:numPr>
                <w:ilvl w:val="0"/>
                <w:numId w:val="9"/>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支持复测验证状态选择</w:t>
            </w:r>
          </w:p>
          <w:p w14:paraId="43B62E58">
            <w:pPr>
              <w:keepNext w:val="0"/>
              <w:keepLines w:val="0"/>
              <w:pageBreakBefore w:val="0"/>
              <w:widowControl w:val="0"/>
              <w:numPr>
                <w:ilvl w:val="0"/>
                <w:numId w:val="9"/>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支持从移动端相册获取图片并上传</w:t>
            </w:r>
          </w:p>
          <w:p w14:paraId="379E058C">
            <w:pPr>
              <w:keepNext w:val="0"/>
              <w:keepLines w:val="0"/>
              <w:pageBreakBefore w:val="0"/>
              <w:widowControl w:val="0"/>
              <w:numPr>
                <w:ilvl w:val="0"/>
                <w:numId w:val="9"/>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支持手动添加病害体信息，并通过移动端设备自动获取所在位置的坐标信息</w:t>
            </w:r>
          </w:p>
        </w:tc>
      </w:tr>
      <w:tr w14:paraId="6488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2459" w:type="dxa"/>
            <w:vMerge w:val="continue"/>
            <w:noWrap w:val="0"/>
            <w:vAlign w:val="center"/>
          </w:tcPr>
          <w:p w14:paraId="139E5366">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812B69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整体功能</w:t>
            </w:r>
          </w:p>
        </w:tc>
        <w:tc>
          <w:tcPr>
            <w:tcW w:w="6036" w:type="dxa"/>
            <w:noWrap w:val="0"/>
            <w:vAlign w:val="center"/>
          </w:tcPr>
          <w:p w14:paraId="6280D1E4">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采用微信小程序模式或移动作业专用APP，支持与综合管理平台数据实时同步</w:t>
            </w:r>
          </w:p>
        </w:tc>
      </w:tr>
      <w:tr w14:paraId="00C21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459" w:type="dxa"/>
            <w:vMerge w:val="restart"/>
            <w:noWrap w:val="0"/>
            <w:vAlign w:val="center"/>
          </w:tcPr>
          <w:p w14:paraId="4429AED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道路雷达探测数据综合管理平台</w:t>
            </w:r>
          </w:p>
        </w:tc>
        <w:tc>
          <w:tcPr>
            <w:tcW w:w="2006" w:type="dxa"/>
            <w:noWrap w:val="0"/>
            <w:vAlign w:val="center"/>
          </w:tcPr>
          <w:p w14:paraId="1ACA5B6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数据面板</w:t>
            </w:r>
          </w:p>
        </w:tc>
        <w:tc>
          <w:tcPr>
            <w:tcW w:w="6036" w:type="dxa"/>
            <w:noWrap w:val="0"/>
            <w:vAlign w:val="center"/>
          </w:tcPr>
          <w:p w14:paraId="3FD0A395">
            <w:pPr>
              <w:keepNext w:val="0"/>
              <w:keepLines w:val="0"/>
              <w:pageBreakBefore w:val="0"/>
              <w:widowControl w:val="0"/>
              <w:numPr>
                <w:ilvl w:val="0"/>
                <w:numId w:val="10"/>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显示当前用户所关联的项目的关键数据信息，包括项目规划的检测道路里程、已完成采集及处理解译的里程、证实病害体数量及疑似病害体数量等</w:t>
            </w:r>
          </w:p>
          <w:p w14:paraId="7227F33C">
            <w:pPr>
              <w:keepNext w:val="0"/>
              <w:keepLines w:val="0"/>
              <w:pageBreakBefore w:val="0"/>
              <w:widowControl w:val="0"/>
              <w:numPr>
                <w:ilvl w:val="0"/>
                <w:numId w:val="10"/>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按项目显示对应的关键数据信息</w:t>
            </w:r>
          </w:p>
          <w:p w14:paraId="00B65784">
            <w:pPr>
              <w:keepNext w:val="0"/>
              <w:keepLines w:val="0"/>
              <w:pageBreakBefore w:val="0"/>
              <w:widowControl w:val="0"/>
              <w:numPr>
                <w:ilvl w:val="0"/>
                <w:numId w:val="10"/>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按时间显示各阶段完成的工作量信息</w:t>
            </w:r>
          </w:p>
          <w:p w14:paraId="5E5F5089">
            <w:pPr>
              <w:keepNext w:val="0"/>
              <w:keepLines w:val="0"/>
              <w:pageBreakBefore w:val="0"/>
              <w:widowControl w:val="0"/>
              <w:numPr>
                <w:ilvl w:val="0"/>
                <w:numId w:val="10"/>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显示当前用户所关联项目的全部探测成果数据、关键技术指标</w:t>
            </w:r>
          </w:p>
          <w:p w14:paraId="0F150006">
            <w:pPr>
              <w:keepNext w:val="0"/>
              <w:keepLines w:val="0"/>
              <w:pageBreakBefore w:val="0"/>
              <w:widowControl w:val="0"/>
              <w:numPr>
                <w:ilvl w:val="0"/>
                <w:numId w:val="10"/>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显示内容及整体布局支持定制</w:t>
            </w:r>
          </w:p>
        </w:tc>
      </w:tr>
      <w:tr w14:paraId="2C40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459" w:type="dxa"/>
            <w:vMerge w:val="continue"/>
            <w:noWrap w:val="0"/>
            <w:vAlign w:val="center"/>
          </w:tcPr>
          <w:p w14:paraId="37EFCEFC">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715BCE0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项目管理</w:t>
            </w:r>
          </w:p>
        </w:tc>
        <w:tc>
          <w:tcPr>
            <w:tcW w:w="6036" w:type="dxa"/>
            <w:noWrap w:val="0"/>
            <w:vAlign w:val="center"/>
          </w:tcPr>
          <w:p w14:paraId="2B3A3AC9">
            <w:pPr>
              <w:keepNext w:val="0"/>
              <w:keepLines w:val="0"/>
              <w:pageBreakBefore w:val="0"/>
              <w:widowControl w:val="0"/>
              <w:numPr>
                <w:ilvl w:val="0"/>
                <w:numId w:val="11"/>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通过列表方式显示当前用户所关联的项目信息</w:t>
            </w:r>
          </w:p>
          <w:p w14:paraId="09B31395">
            <w:pPr>
              <w:keepNext w:val="0"/>
              <w:keepLines w:val="0"/>
              <w:pageBreakBefore w:val="0"/>
              <w:widowControl w:val="0"/>
              <w:numPr>
                <w:ilvl w:val="0"/>
                <w:numId w:val="11"/>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可在地图中显示项目规划的检测道路</w:t>
            </w:r>
          </w:p>
          <w:p w14:paraId="2C297344">
            <w:pPr>
              <w:keepNext w:val="0"/>
              <w:keepLines w:val="0"/>
              <w:pageBreakBefore w:val="0"/>
              <w:widowControl w:val="0"/>
              <w:numPr>
                <w:ilvl w:val="0"/>
                <w:numId w:val="11"/>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具备项目新增、编辑、删除功能</w:t>
            </w:r>
          </w:p>
          <w:p w14:paraId="3304312F">
            <w:pPr>
              <w:keepNext w:val="0"/>
              <w:keepLines w:val="0"/>
              <w:pageBreakBefore w:val="0"/>
              <w:widowControl w:val="0"/>
              <w:numPr>
                <w:ilvl w:val="0"/>
                <w:numId w:val="11"/>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可在地图中对检测道路进行规划，并自动获取标绘道路的长度等信息</w:t>
            </w:r>
          </w:p>
          <w:p w14:paraId="167B1DC1">
            <w:pPr>
              <w:keepNext w:val="0"/>
              <w:keepLines w:val="0"/>
              <w:pageBreakBefore w:val="0"/>
              <w:widowControl w:val="0"/>
              <w:numPr>
                <w:ilvl w:val="0"/>
                <w:numId w:val="11"/>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支持按项目编号、名称进行查询</w:t>
            </w:r>
          </w:p>
        </w:tc>
      </w:tr>
      <w:tr w14:paraId="76FF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459" w:type="dxa"/>
            <w:vMerge w:val="continue"/>
            <w:noWrap w:val="0"/>
            <w:vAlign w:val="center"/>
          </w:tcPr>
          <w:p w14:paraId="03113003">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3D5171BD">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作业管理</w:t>
            </w:r>
          </w:p>
        </w:tc>
        <w:tc>
          <w:tcPr>
            <w:tcW w:w="6036" w:type="dxa"/>
            <w:noWrap w:val="0"/>
            <w:vAlign w:val="center"/>
          </w:tcPr>
          <w:p w14:paraId="315C96E1">
            <w:pPr>
              <w:keepNext w:val="0"/>
              <w:keepLines w:val="0"/>
              <w:pageBreakBefore w:val="0"/>
              <w:widowControl w:val="0"/>
              <w:numPr>
                <w:ilvl w:val="0"/>
                <w:numId w:val="12"/>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展示已上传数据的详细测线信息，包括测线开始时间、结束时间、测线编号、测线长度等</w:t>
            </w:r>
          </w:p>
          <w:p w14:paraId="4BD82ECA">
            <w:pPr>
              <w:keepNext w:val="0"/>
              <w:keepLines w:val="0"/>
              <w:pageBreakBefore w:val="0"/>
              <w:widowControl w:val="0"/>
              <w:numPr>
                <w:ilvl w:val="0"/>
                <w:numId w:val="12"/>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可自动将测线轨迹投影在电子地图上</w:t>
            </w:r>
          </w:p>
          <w:p w14:paraId="472C49E5">
            <w:pPr>
              <w:keepNext w:val="0"/>
              <w:keepLines w:val="0"/>
              <w:pageBreakBefore w:val="0"/>
              <w:widowControl w:val="0"/>
              <w:numPr>
                <w:ilvl w:val="0"/>
                <w:numId w:val="12"/>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根据时间列表显示数据解译作业信息，包括解译出的病害体类型、数量、大小、位置等</w:t>
            </w:r>
          </w:p>
          <w:p w14:paraId="0619DC2D">
            <w:pPr>
              <w:keepNext w:val="0"/>
              <w:keepLines w:val="0"/>
              <w:pageBreakBefore w:val="0"/>
              <w:widowControl w:val="0"/>
              <w:numPr>
                <w:ilvl w:val="0"/>
                <w:numId w:val="12"/>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可查看解译病害体的详细信息，包括剖面图谱、水平切片图谱、实景图像等</w:t>
            </w:r>
          </w:p>
          <w:p w14:paraId="5E2A4BFC">
            <w:pPr>
              <w:keepNext w:val="0"/>
              <w:keepLines w:val="0"/>
              <w:pageBreakBefore w:val="0"/>
              <w:widowControl w:val="0"/>
              <w:numPr>
                <w:ilvl w:val="0"/>
                <w:numId w:val="12"/>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根据时间列表显示复测验证作业信息，包括复测数量、验证数量、证实的病害体类型、数量等</w:t>
            </w:r>
          </w:p>
          <w:p w14:paraId="3A61E1FD">
            <w:pPr>
              <w:keepNext w:val="0"/>
              <w:keepLines w:val="0"/>
              <w:pageBreakBefore w:val="0"/>
              <w:widowControl w:val="0"/>
              <w:numPr>
                <w:ilvl w:val="0"/>
                <w:numId w:val="12"/>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可查看每个点位复测验证作业的详细信息</w:t>
            </w:r>
          </w:p>
        </w:tc>
      </w:tr>
      <w:tr w14:paraId="3ED9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459" w:type="dxa"/>
            <w:vMerge w:val="continue"/>
            <w:noWrap w:val="0"/>
            <w:vAlign w:val="center"/>
          </w:tcPr>
          <w:p w14:paraId="4E1CF5B6">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565D688">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数据管理</w:t>
            </w:r>
          </w:p>
        </w:tc>
        <w:tc>
          <w:tcPr>
            <w:tcW w:w="6036" w:type="dxa"/>
            <w:noWrap w:val="0"/>
            <w:vAlign w:val="center"/>
          </w:tcPr>
          <w:p w14:paraId="490C7F98">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根据项目、道路上传采集的雷达原始数据，支持数据包与道路1对多，多对1自由匹配</w:t>
            </w:r>
          </w:p>
          <w:p w14:paraId="186A7E40">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支持对已上传数据包进行关联道路信息编辑、对已上传数据包测线详情进行编辑管理、对已上传数据包进行删除操作</w:t>
            </w:r>
          </w:p>
          <w:p w14:paraId="281F2A56">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支持自动查询新上传数据，搜索频率每1分钟1次</w:t>
            </w:r>
          </w:p>
          <w:p w14:paraId="3F7375CF">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对查询到的新上传数据自动判断数据类型并启动预处理流程</w:t>
            </w:r>
          </w:p>
          <w:p w14:paraId="785C3462">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对预处理完成的数据自动启动AI自动识别</w:t>
            </w:r>
          </w:p>
          <w:p w14:paraId="6E826A1B">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支持调用三维地质雷达数据处理解译系统软件，并关联预处理完成的数据及AI自动识别的结果</w:t>
            </w:r>
          </w:p>
          <w:p w14:paraId="49C41D2C">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数据状态显示，包括数据处理中、待审核、处理完成等类型</w:t>
            </w:r>
          </w:p>
          <w:p w14:paraId="13DAA1F7">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根据项目名称列表显示所对应的文件数量、AI识别成果数、人工审核成果数、复测验证成果数</w:t>
            </w:r>
          </w:p>
          <w:p w14:paraId="6D93F828">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可查看各类型成果的详细信息</w:t>
            </w:r>
          </w:p>
          <w:p w14:paraId="22447B5E">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列表显示当前用户所关联项目的全部病害体数据，可根据项目名称、道路名称、病害体编号、病害体类型、病害体状态进行查询操作</w:t>
            </w:r>
          </w:p>
          <w:p w14:paraId="64B3788C">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可对列表中病害体数据进行查看、编辑、下载、删除、编号重排等操作</w:t>
            </w:r>
          </w:p>
          <w:p w14:paraId="64D06A3E">
            <w:pPr>
              <w:keepNext w:val="0"/>
              <w:keepLines w:val="0"/>
              <w:pageBreakBefore w:val="0"/>
              <w:widowControl w:val="0"/>
              <w:numPr>
                <w:ilvl w:val="0"/>
                <w:numId w:val="13"/>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支持手工录入病害体信息</w:t>
            </w:r>
          </w:p>
        </w:tc>
      </w:tr>
      <w:tr w14:paraId="2D27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2459" w:type="dxa"/>
            <w:vMerge w:val="continue"/>
            <w:noWrap w:val="0"/>
            <w:vAlign w:val="center"/>
          </w:tcPr>
          <w:p w14:paraId="1FB2A35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4F1509F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报表管理</w:t>
            </w:r>
          </w:p>
        </w:tc>
        <w:tc>
          <w:tcPr>
            <w:tcW w:w="6036" w:type="dxa"/>
            <w:noWrap w:val="0"/>
            <w:vAlign w:val="center"/>
          </w:tcPr>
          <w:p w14:paraId="0F5292B7">
            <w:pPr>
              <w:keepNext w:val="0"/>
              <w:keepLines w:val="0"/>
              <w:pageBreakBefore w:val="0"/>
              <w:widowControl w:val="0"/>
              <w:numPr>
                <w:ilvl w:val="0"/>
                <w:numId w:val="14"/>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支持自动生成检测道路汇总表及测线轨迹文件并导出</w:t>
            </w:r>
          </w:p>
          <w:p w14:paraId="78BAEA73">
            <w:pPr>
              <w:keepNext w:val="0"/>
              <w:keepLines w:val="0"/>
              <w:pageBreakBefore w:val="0"/>
              <w:widowControl w:val="0"/>
              <w:numPr>
                <w:ilvl w:val="0"/>
                <w:numId w:val="14"/>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支持自动生成病害体汇总表及信息记录卡并导出</w:t>
            </w:r>
          </w:p>
          <w:p w14:paraId="28359A17">
            <w:pPr>
              <w:keepNext w:val="0"/>
              <w:keepLines w:val="0"/>
              <w:pageBreakBefore w:val="0"/>
              <w:widowControl w:val="0"/>
              <w:numPr>
                <w:ilvl w:val="0"/>
                <w:numId w:val="14"/>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报表模板机信息记录卡模板支持定制</w:t>
            </w:r>
          </w:p>
        </w:tc>
      </w:tr>
      <w:tr w14:paraId="775B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459" w:type="dxa"/>
            <w:vMerge w:val="continue"/>
            <w:noWrap w:val="0"/>
            <w:vAlign w:val="center"/>
          </w:tcPr>
          <w:p w14:paraId="0C677FC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5DE2AD4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图上作业</w:t>
            </w:r>
          </w:p>
        </w:tc>
        <w:tc>
          <w:tcPr>
            <w:tcW w:w="6036" w:type="dxa"/>
            <w:noWrap w:val="0"/>
            <w:vAlign w:val="center"/>
          </w:tcPr>
          <w:p w14:paraId="214B36A3">
            <w:pPr>
              <w:keepNext w:val="0"/>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1、根据项目名称、道路名称、病害体类型、病害体状态等信息自动加载相关病害体数据</w:t>
            </w:r>
          </w:p>
          <w:p w14:paraId="76FF1F7D">
            <w:pPr>
              <w:keepNext w:val="0"/>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2、根据坐标自动检测出位置相近的病害体并在地图上标注，同时显示各病害体的雷达图谱、实景图像、所处测线及道号等</w:t>
            </w:r>
          </w:p>
          <w:p w14:paraId="4DBAD871">
            <w:pPr>
              <w:keepNext w:val="0"/>
              <w:keepLines w:val="0"/>
              <w:pageBreakBefore w:val="0"/>
              <w:widowControl w:val="0"/>
              <w:kinsoku/>
              <w:wordWrap/>
              <w:overflowPunct/>
              <w:topLinePunct/>
              <w:autoSpaceDE/>
              <w:autoSpaceDN/>
              <w:bidi w:val="0"/>
              <w:adjustRightInd/>
              <w:snapToGrid/>
              <w:spacing w:line="360" w:lineRule="auto"/>
              <w:ind w:firstLine="0" w:firstLineChars="0"/>
              <w:jc w:val="left"/>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3、如判定为同一处病害，可根据需要对重复数据进行删除</w:t>
            </w:r>
          </w:p>
        </w:tc>
      </w:tr>
      <w:tr w14:paraId="4FDF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2459" w:type="dxa"/>
            <w:vMerge w:val="continue"/>
            <w:noWrap w:val="0"/>
            <w:vAlign w:val="center"/>
          </w:tcPr>
          <w:p w14:paraId="65C02C82">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547E9FAF">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资源管理</w:t>
            </w:r>
          </w:p>
        </w:tc>
        <w:tc>
          <w:tcPr>
            <w:tcW w:w="6036" w:type="dxa"/>
            <w:noWrap w:val="0"/>
            <w:vAlign w:val="center"/>
          </w:tcPr>
          <w:p w14:paraId="1BB75480">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对用户的人员、设备、车辆等进行管理，具备新增、编辑、删除等操作；支持资源状态显示</w:t>
            </w:r>
          </w:p>
        </w:tc>
      </w:tr>
      <w:tr w14:paraId="21E8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2" w:hRule="atLeast"/>
          <w:jc w:val="center"/>
        </w:trPr>
        <w:tc>
          <w:tcPr>
            <w:tcW w:w="2459" w:type="dxa"/>
            <w:vMerge w:val="continue"/>
            <w:noWrap w:val="0"/>
            <w:vAlign w:val="center"/>
          </w:tcPr>
          <w:p w14:paraId="22AAF678">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6A83C5B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系统管理</w:t>
            </w:r>
          </w:p>
        </w:tc>
        <w:tc>
          <w:tcPr>
            <w:tcW w:w="6036" w:type="dxa"/>
            <w:noWrap w:val="0"/>
            <w:vAlign w:val="center"/>
          </w:tcPr>
          <w:p w14:paraId="673F3F2C">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1、组织架构管理：具备新增、编辑、删除等操作</w:t>
            </w:r>
          </w:p>
          <w:p w14:paraId="60A3EA06">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2、用户管理：具备新增、编辑、删除等操作</w:t>
            </w:r>
          </w:p>
          <w:p w14:paraId="317E4EE3">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3、角色管理：具备新增、编辑、删除等操作，可对用户进行角色管理，根据不同角色类型赋予对应的操作权限。</w:t>
            </w:r>
          </w:p>
        </w:tc>
      </w:tr>
      <w:tr w14:paraId="7C12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7" w:hRule="atLeast"/>
          <w:jc w:val="center"/>
        </w:trPr>
        <w:tc>
          <w:tcPr>
            <w:tcW w:w="2459" w:type="dxa"/>
            <w:vMerge w:val="restart"/>
            <w:noWrap w:val="0"/>
            <w:vAlign w:val="center"/>
          </w:tcPr>
          <w:p w14:paraId="339BC75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基于三维GIS地图搭建三维展示平台</w:t>
            </w:r>
          </w:p>
        </w:tc>
        <w:tc>
          <w:tcPr>
            <w:tcW w:w="2006" w:type="dxa"/>
            <w:noWrap w:val="0"/>
            <w:vAlign w:val="center"/>
          </w:tcPr>
          <w:p w14:paraId="6DBA2317">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三维GIS地图</w:t>
            </w:r>
          </w:p>
        </w:tc>
        <w:tc>
          <w:tcPr>
            <w:tcW w:w="6036" w:type="dxa"/>
            <w:noWrap w:val="0"/>
            <w:vAlign w:val="center"/>
          </w:tcPr>
          <w:p w14:paraId="687F4DD8">
            <w:pPr>
              <w:keepNext w:val="0"/>
              <w:keepLines w:val="0"/>
              <w:pageBreakBefore w:val="0"/>
              <w:widowControl w:val="0"/>
              <w:numPr>
                <w:ilvl w:val="0"/>
                <w:numId w:val="1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显示比例1m - 2000km可调节</w:t>
            </w:r>
          </w:p>
          <w:p w14:paraId="6FF8AF59">
            <w:pPr>
              <w:keepNext w:val="0"/>
              <w:keepLines w:val="0"/>
              <w:pageBreakBefore w:val="0"/>
              <w:widowControl w:val="0"/>
              <w:numPr>
                <w:ilvl w:val="0"/>
                <w:numId w:val="1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支持多种底图模式、多角度旋转、初始视图预设</w:t>
            </w:r>
          </w:p>
          <w:p w14:paraId="44AC9FAB">
            <w:pPr>
              <w:keepNext w:val="0"/>
              <w:keepLines w:val="0"/>
              <w:pageBreakBefore w:val="0"/>
              <w:widowControl w:val="0"/>
              <w:numPr>
                <w:ilvl w:val="0"/>
                <w:numId w:val="1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支持窗口显示与全屏显示</w:t>
            </w:r>
          </w:p>
          <w:p w14:paraId="2D1AFCBE">
            <w:pPr>
              <w:keepNext w:val="0"/>
              <w:keepLines w:val="0"/>
              <w:pageBreakBefore w:val="0"/>
              <w:widowControl w:val="0"/>
              <w:numPr>
                <w:ilvl w:val="0"/>
                <w:numId w:val="15"/>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支持鼠标及按钮调节方式</w:t>
            </w:r>
          </w:p>
        </w:tc>
      </w:tr>
      <w:tr w14:paraId="1C62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6" w:hRule="atLeast"/>
          <w:jc w:val="center"/>
        </w:trPr>
        <w:tc>
          <w:tcPr>
            <w:tcW w:w="2459" w:type="dxa"/>
            <w:vMerge w:val="continue"/>
            <w:noWrap w:val="0"/>
            <w:vAlign w:val="center"/>
          </w:tcPr>
          <w:p w14:paraId="123CF11F">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396749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数据图层</w:t>
            </w:r>
          </w:p>
        </w:tc>
        <w:tc>
          <w:tcPr>
            <w:tcW w:w="6036" w:type="dxa"/>
            <w:noWrap w:val="0"/>
            <w:vAlign w:val="center"/>
          </w:tcPr>
          <w:p w14:paraId="26C74665">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与综合管理平台自动同步，登录后加载当前用户所关联项目的道路、测线、病害体信息</w:t>
            </w:r>
          </w:p>
          <w:p w14:paraId="446C4441">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道路、测线、病害体信息分图层显示，可根据需要选择显示图层</w:t>
            </w:r>
          </w:p>
          <w:p w14:paraId="28D85C47">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根据数据采集时间自动计算测线距今时限，并根据项目要求通过不同颜色显示</w:t>
            </w:r>
          </w:p>
          <w:p w14:paraId="23E16C71">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病害体根据类型、状态、风险等级不同分别用不同图标显示</w:t>
            </w:r>
          </w:p>
          <w:p w14:paraId="77420392">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支持道路基础信息、测线信息、病害体详细信息的展示</w:t>
            </w:r>
          </w:p>
          <w:p w14:paraId="4CB865F6">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支持项目选择，显示选中项目的相关信息</w:t>
            </w:r>
          </w:p>
          <w:p w14:paraId="05B18374">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展示项目的关键数据统计</w:t>
            </w:r>
          </w:p>
          <w:p w14:paraId="4FBC5935">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根据行政区划逐级显示检测道路信息</w:t>
            </w:r>
          </w:p>
          <w:p w14:paraId="21A3EBC7">
            <w:pPr>
              <w:keepNext w:val="0"/>
              <w:keepLines w:val="0"/>
              <w:pageBreakBefore w:val="0"/>
              <w:widowControl w:val="0"/>
              <w:numPr>
                <w:ilvl w:val="0"/>
                <w:numId w:val="16"/>
              </w:numPr>
              <w:kinsoku/>
              <w:wordWrap/>
              <w:overflowPunct/>
              <w:topLinePunct/>
              <w:autoSpaceDE/>
              <w:autoSpaceDN/>
              <w:bidi w:val="0"/>
              <w:adjustRightInd/>
              <w:snapToGrid/>
              <w:spacing w:line="360" w:lineRule="auto"/>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根据类型、风险等级、状态及所处道路查询相关病害体信息</w:t>
            </w:r>
          </w:p>
        </w:tc>
      </w:tr>
    </w:tbl>
    <w:p w14:paraId="7A7A0F27">
      <w:pP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br w:type="page"/>
      </w:r>
    </w:p>
    <w:p w14:paraId="6FD5F63B">
      <w:pPr>
        <w:pStyle w:val="2"/>
        <w:rPr>
          <w:rFonts w:hint="eastAsia"/>
          <w:lang w:val="en-US" w:eastAsia="zh-CN"/>
        </w:rPr>
      </w:pPr>
    </w:p>
    <w:tbl>
      <w:tblPr>
        <w:tblStyle w:val="10"/>
        <w:tblW w:w="10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2006"/>
        <w:gridCol w:w="6036"/>
      </w:tblGrid>
      <w:tr w14:paraId="46E4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jc w:val="center"/>
        </w:trPr>
        <w:tc>
          <w:tcPr>
            <w:tcW w:w="2459" w:type="dxa"/>
            <w:shd w:val="clear" w:color="auto" w:fill="D7D7D7"/>
            <w:noWrap w:val="0"/>
            <w:vAlign w:val="center"/>
          </w:tcPr>
          <w:p w14:paraId="7FF8372C">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功能名称</w:t>
            </w:r>
          </w:p>
        </w:tc>
        <w:tc>
          <w:tcPr>
            <w:tcW w:w="2006" w:type="dxa"/>
            <w:shd w:val="clear" w:color="auto" w:fill="D7D7D7"/>
            <w:noWrap w:val="0"/>
            <w:vAlign w:val="center"/>
          </w:tcPr>
          <w:p w14:paraId="4A10C2E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指标项</w:t>
            </w:r>
          </w:p>
        </w:tc>
        <w:tc>
          <w:tcPr>
            <w:tcW w:w="6036" w:type="dxa"/>
            <w:shd w:val="clear" w:color="auto" w:fill="D7D7D7"/>
            <w:noWrap w:val="0"/>
            <w:vAlign w:val="center"/>
          </w:tcPr>
          <w:p w14:paraId="79E8C59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性能参数</w:t>
            </w:r>
          </w:p>
        </w:tc>
      </w:tr>
      <w:tr w14:paraId="3D1C0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restart"/>
            <w:noWrap w:val="0"/>
            <w:vAlign w:val="center"/>
          </w:tcPr>
          <w:p w14:paraId="68B9426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项目存储与安全</w:t>
            </w:r>
          </w:p>
        </w:tc>
        <w:tc>
          <w:tcPr>
            <w:tcW w:w="2006" w:type="dxa"/>
            <w:noWrap w:val="0"/>
            <w:vAlign w:val="center"/>
          </w:tcPr>
          <w:p w14:paraId="6893699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存储总容量</w:t>
            </w:r>
          </w:p>
        </w:tc>
        <w:tc>
          <w:tcPr>
            <w:tcW w:w="6036" w:type="dxa"/>
            <w:noWrap w:val="0"/>
            <w:vAlign w:val="center"/>
          </w:tcPr>
          <w:p w14:paraId="7450D13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不低于180TB</w:t>
            </w:r>
          </w:p>
        </w:tc>
      </w:tr>
      <w:tr w14:paraId="4A96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59" w:type="dxa"/>
            <w:vMerge w:val="continue"/>
            <w:noWrap w:val="0"/>
            <w:vAlign w:val="center"/>
          </w:tcPr>
          <w:p w14:paraId="2CB05409">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55660F8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控制器</w:t>
            </w:r>
          </w:p>
        </w:tc>
        <w:tc>
          <w:tcPr>
            <w:tcW w:w="6036" w:type="dxa"/>
            <w:noWrap w:val="0"/>
            <w:vAlign w:val="center"/>
          </w:tcPr>
          <w:p w14:paraId="3CB1A466">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2台</w:t>
            </w:r>
          </w:p>
        </w:tc>
      </w:tr>
      <w:tr w14:paraId="6943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7603463E">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A9B268D">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控制柜</w:t>
            </w:r>
          </w:p>
        </w:tc>
        <w:tc>
          <w:tcPr>
            <w:tcW w:w="6036" w:type="dxa"/>
            <w:noWrap w:val="0"/>
            <w:vAlign w:val="center"/>
          </w:tcPr>
          <w:p w14:paraId="7CAF111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4U 19英寸标准机架</w:t>
            </w:r>
          </w:p>
        </w:tc>
      </w:tr>
      <w:tr w14:paraId="1E6C8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655F8AFA">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55C9B6EC">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处理器/双控</w:t>
            </w:r>
          </w:p>
        </w:tc>
        <w:tc>
          <w:tcPr>
            <w:tcW w:w="6036" w:type="dxa"/>
            <w:noWrap w:val="0"/>
            <w:vAlign w:val="center"/>
          </w:tcPr>
          <w:p w14:paraId="51DE29E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2颗8核国产处理器</w:t>
            </w:r>
          </w:p>
        </w:tc>
      </w:tr>
      <w:tr w14:paraId="6D47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57DEB96D">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7A53856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系统缓存/双控</w:t>
            </w:r>
          </w:p>
        </w:tc>
        <w:tc>
          <w:tcPr>
            <w:tcW w:w="6036" w:type="dxa"/>
            <w:noWrap w:val="0"/>
            <w:vAlign w:val="center"/>
          </w:tcPr>
          <w:p w14:paraId="7726B03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32GB~256GB，支持BBU缓存掉电保护</w:t>
            </w:r>
          </w:p>
        </w:tc>
      </w:tr>
      <w:tr w14:paraId="1D32A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53DB0993">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ADA79B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系统IO插槽</w:t>
            </w:r>
          </w:p>
        </w:tc>
        <w:tc>
          <w:tcPr>
            <w:tcW w:w="6036" w:type="dxa"/>
            <w:noWrap w:val="0"/>
            <w:vAlign w:val="center"/>
          </w:tcPr>
          <w:p w14:paraId="486A960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6个插槽</w:t>
            </w:r>
          </w:p>
        </w:tc>
      </w:tr>
      <w:tr w14:paraId="429B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6A57857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03CC08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前端端口类型</w:t>
            </w:r>
          </w:p>
        </w:tc>
        <w:tc>
          <w:tcPr>
            <w:tcW w:w="6036" w:type="dxa"/>
            <w:noWrap w:val="0"/>
            <w:vAlign w:val="center"/>
          </w:tcPr>
          <w:p w14:paraId="645519F8">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标配8个1GE，支持16Gb/32Gb FC、10 iSCSI</w:t>
            </w:r>
          </w:p>
        </w:tc>
      </w:tr>
      <w:tr w14:paraId="7BEC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00EECD73">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78C1788">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支持的存储协议</w:t>
            </w:r>
          </w:p>
        </w:tc>
        <w:tc>
          <w:tcPr>
            <w:tcW w:w="6036" w:type="dxa"/>
            <w:noWrap w:val="0"/>
            <w:vAlign w:val="center"/>
          </w:tcPr>
          <w:p w14:paraId="7A9F3D1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iSCSI，FC，CIFS，NFS，FTP，HTTPS</w:t>
            </w:r>
          </w:p>
        </w:tc>
      </w:tr>
      <w:tr w14:paraId="43283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5F203DE3">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7ED177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硬盘数量</w:t>
            </w:r>
          </w:p>
        </w:tc>
        <w:tc>
          <w:tcPr>
            <w:tcW w:w="6036" w:type="dxa"/>
            <w:noWrap w:val="0"/>
            <w:vAlign w:val="center"/>
          </w:tcPr>
          <w:p w14:paraId="7E7146D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w:t>
            </w:r>
          </w:p>
        </w:tc>
      </w:tr>
      <w:tr w14:paraId="7806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62EDEA96">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32549807">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硬盘类型</w:t>
            </w:r>
          </w:p>
        </w:tc>
        <w:tc>
          <w:tcPr>
            <w:tcW w:w="6036" w:type="dxa"/>
            <w:noWrap w:val="0"/>
            <w:vAlign w:val="center"/>
          </w:tcPr>
          <w:p w14:paraId="63287F0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NL-SAS HDD</w:t>
            </w:r>
          </w:p>
        </w:tc>
      </w:tr>
      <w:tr w14:paraId="779D5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28201342">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6B3B12C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磁盘大小</w:t>
            </w:r>
          </w:p>
        </w:tc>
        <w:tc>
          <w:tcPr>
            <w:tcW w:w="6036" w:type="dxa"/>
            <w:noWrap w:val="0"/>
            <w:vAlign w:val="center"/>
          </w:tcPr>
          <w:p w14:paraId="775B830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8T</w:t>
            </w:r>
          </w:p>
        </w:tc>
      </w:tr>
      <w:tr w14:paraId="762B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6141D764">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7F0089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后端端口类型</w:t>
            </w:r>
          </w:p>
        </w:tc>
        <w:tc>
          <w:tcPr>
            <w:tcW w:w="6036" w:type="dxa"/>
            <w:noWrap w:val="0"/>
            <w:vAlign w:val="center"/>
          </w:tcPr>
          <w:p w14:paraId="2B09D9E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SAS3.0  4*4*12Gbps</w:t>
            </w:r>
          </w:p>
        </w:tc>
      </w:tr>
      <w:tr w14:paraId="0B2B2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40E863A4">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4BE59EA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RAID 级别</w:t>
            </w:r>
          </w:p>
        </w:tc>
        <w:tc>
          <w:tcPr>
            <w:tcW w:w="6036" w:type="dxa"/>
            <w:noWrap w:val="0"/>
            <w:vAlign w:val="center"/>
          </w:tcPr>
          <w:p w14:paraId="44FE102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RAID 0，1， 5，6，10，支持全局热备</w:t>
            </w:r>
          </w:p>
        </w:tc>
      </w:tr>
      <w:tr w14:paraId="0FA1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4E6930B9">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0BE02E6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软件功能</w:t>
            </w:r>
          </w:p>
        </w:tc>
        <w:tc>
          <w:tcPr>
            <w:tcW w:w="6036" w:type="dxa"/>
            <w:noWrap w:val="0"/>
            <w:vAlign w:val="center"/>
          </w:tcPr>
          <w:p w14:paraId="1F68049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卷精简配置、迁移、克隆、快照；NAS文件服务、NAS双活；分层、多路径切换、在线升级等</w:t>
            </w:r>
          </w:p>
        </w:tc>
      </w:tr>
      <w:tr w14:paraId="1180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502AFC48">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41AC8ED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支持操作系统</w:t>
            </w:r>
          </w:p>
        </w:tc>
        <w:tc>
          <w:tcPr>
            <w:tcW w:w="6036" w:type="dxa"/>
            <w:noWrap w:val="0"/>
            <w:vAlign w:val="center"/>
          </w:tcPr>
          <w:p w14:paraId="71F45B3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Microsoft Windows Sever、Red Hat Enterprise Linux、SUSE Linux Enterprise Server、CentOS、Vmware ESXi、中标麒麟、银河麒麟、统信UOS等操作系统</w:t>
            </w:r>
          </w:p>
        </w:tc>
      </w:tr>
      <w:tr w14:paraId="6BF4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center"/>
          </w:tcPr>
          <w:p w14:paraId="475BAD0B">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2006" w:type="dxa"/>
            <w:noWrap w:val="0"/>
            <w:vAlign w:val="center"/>
          </w:tcPr>
          <w:p w14:paraId="116230D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配件</w:t>
            </w:r>
          </w:p>
        </w:tc>
        <w:tc>
          <w:tcPr>
            <w:tcW w:w="6036" w:type="dxa"/>
            <w:noWrap w:val="0"/>
            <w:vAlign w:val="center"/>
          </w:tcPr>
          <w:p w14:paraId="363C26B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机箱全套含上架套件，配备机箱导轨、PDU电源线。</w:t>
            </w:r>
          </w:p>
        </w:tc>
      </w:tr>
      <w:tr w14:paraId="214D5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2BFCE23C">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0DBE44B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直流电源模块</w:t>
            </w:r>
          </w:p>
        </w:tc>
        <w:tc>
          <w:tcPr>
            <w:tcW w:w="0" w:type="auto"/>
            <w:noWrap w:val="0"/>
            <w:vAlign w:val="center"/>
          </w:tcPr>
          <w:p w14:paraId="3426918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冗余电源（1+1）</w:t>
            </w:r>
          </w:p>
        </w:tc>
      </w:tr>
      <w:tr w14:paraId="5C04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22E36386">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6B1DB17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额定功耗</w:t>
            </w:r>
          </w:p>
        </w:tc>
        <w:tc>
          <w:tcPr>
            <w:tcW w:w="0" w:type="auto"/>
            <w:noWrap w:val="0"/>
            <w:vAlign w:val="center"/>
          </w:tcPr>
          <w:p w14:paraId="6F564342">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≤800W</w:t>
            </w:r>
          </w:p>
        </w:tc>
      </w:tr>
      <w:tr w14:paraId="17E6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485FC774">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50B7311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工作功耗</w:t>
            </w:r>
          </w:p>
        </w:tc>
        <w:tc>
          <w:tcPr>
            <w:tcW w:w="0" w:type="auto"/>
            <w:noWrap w:val="0"/>
            <w:vAlign w:val="center"/>
          </w:tcPr>
          <w:p w14:paraId="1564FA03">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≤628W</w:t>
            </w:r>
          </w:p>
        </w:tc>
      </w:tr>
      <w:tr w14:paraId="6058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60D73BBE">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47B0581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工作温度</w:t>
            </w:r>
          </w:p>
        </w:tc>
        <w:tc>
          <w:tcPr>
            <w:tcW w:w="0" w:type="auto"/>
            <w:noWrap w:val="0"/>
            <w:vAlign w:val="center"/>
          </w:tcPr>
          <w:p w14:paraId="2EA7CC40">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5℃～50℃</w:t>
            </w:r>
          </w:p>
        </w:tc>
      </w:tr>
      <w:tr w14:paraId="203FD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7F66A36D">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29DD7919">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储存温度</w:t>
            </w:r>
          </w:p>
        </w:tc>
        <w:tc>
          <w:tcPr>
            <w:tcW w:w="0" w:type="auto"/>
            <w:noWrap w:val="0"/>
            <w:vAlign w:val="center"/>
          </w:tcPr>
          <w:p w14:paraId="27736624">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-40℃～55℃</w:t>
            </w:r>
          </w:p>
        </w:tc>
      </w:tr>
      <w:tr w14:paraId="6A77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1BADAF97">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16E47F6F">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工作湿度</w:t>
            </w:r>
          </w:p>
        </w:tc>
        <w:tc>
          <w:tcPr>
            <w:tcW w:w="0" w:type="auto"/>
            <w:noWrap w:val="0"/>
            <w:vAlign w:val="center"/>
          </w:tcPr>
          <w:p w14:paraId="21C98875">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20%～80%RH（无结冰、无凝露）</w:t>
            </w:r>
          </w:p>
        </w:tc>
      </w:tr>
      <w:tr w14:paraId="752A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066C3129">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7DD155C1">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储存湿度</w:t>
            </w:r>
          </w:p>
        </w:tc>
        <w:tc>
          <w:tcPr>
            <w:tcW w:w="0" w:type="auto"/>
            <w:noWrap w:val="0"/>
            <w:vAlign w:val="center"/>
          </w:tcPr>
          <w:p w14:paraId="2ACA064A">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5%～90%RH（无结冰、无凝露）</w:t>
            </w:r>
          </w:p>
        </w:tc>
      </w:tr>
      <w:tr w14:paraId="2704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3A7C8EB2">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5CCA174B">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尺寸（宽*高*深）</w:t>
            </w:r>
          </w:p>
        </w:tc>
        <w:tc>
          <w:tcPr>
            <w:tcW w:w="0" w:type="auto"/>
            <w:noWrap w:val="0"/>
            <w:vAlign w:val="center"/>
          </w:tcPr>
          <w:p w14:paraId="672D6276">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484mm（宽）x174mm（高）x760mm（深）</w:t>
            </w:r>
          </w:p>
        </w:tc>
      </w:tr>
      <w:tr w14:paraId="1B3D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jc w:val="center"/>
        </w:trPr>
        <w:tc>
          <w:tcPr>
            <w:tcW w:w="2459" w:type="dxa"/>
            <w:vMerge w:val="continue"/>
            <w:noWrap w:val="0"/>
            <w:vAlign w:val="top"/>
          </w:tcPr>
          <w:p w14:paraId="67F6AE67">
            <w:pPr>
              <w:keepNext w:val="0"/>
              <w:keepLines w:val="0"/>
              <w:pageBreakBefore w:val="0"/>
              <w:widowControl w:val="0"/>
              <w:kinsoku/>
              <w:wordWrap/>
              <w:overflowPunct/>
              <w:topLinePunct/>
              <w:autoSpaceDE/>
              <w:autoSpaceDN/>
              <w:bidi w:val="0"/>
              <w:adjustRightInd/>
              <w:snapToGrid/>
              <w:spacing w:line="360" w:lineRule="auto"/>
              <w:ind w:firstLine="472" w:firstLineChars="225"/>
              <w:textAlignment w:val="auto"/>
              <w:rPr>
                <w:rFonts w:hint="eastAsia" w:ascii="Times New Roman" w:hAnsi="Times New Roman" w:eastAsia="宋体" w:cs="Times New Roman"/>
                <w:sz w:val="21"/>
                <w:szCs w:val="21"/>
                <w:lang w:val="en-US" w:eastAsia="zh-CN"/>
              </w:rPr>
            </w:pPr>
          </w:p>
        </w:tc>
        <w:tc>
          <w:tcPr>
            <w:tcW w:w="0" w:type="auto"/>
            <w:noWrap w:val="0"/>
            <w:vAlign w:val="center"/>
          </w:tcPr>
          <w:p w14:paraId="3EAB7A36">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重量（不含硬盘）</w:t>
            </w:r>
          </w:p>
        </w:tc>
        <w:tc>
          <w:tcPr>
            <w:tcW w:w="0" w:type="auto"/>
            <w:noWrap w:val="0"/>
            <w:vAlign w:val="center"/>
          </w:tcPr>
          <w:p w14:paraId="50AFB12E">
            <w:pPr>
              <w:keepNext w:val="0"/>
              <w:keepLines w:val="0"/>
              <w:pageBreakBefore w:val="0"/>
              <w:widowControl w:val="0"/>
              <w:kinsoku/>
              <w:wordWrap/>
              <w:overflowPunct/>
              <w:topLinePunct/>
              <w:autoSpaceDE/>
              <w:autoSpaceDN/>
              <w:bidi w:val="0"/>
              <w:adjustRightInd/>
              <w:snapToGrid/>
              <w:spacing w:line="360" w:lineRule="auto"/>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≤54Kg</w:t>
            </w:r>
          </w:p>
        </w:tc>
      </w:tr>
    </w:tbl>
    <w:p w14:paraId="7B8C4766">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（2）</w:t>
      </w:r>
      <w:r>
        <w:rPr>
          <w:rFonts w:hint="eastAsia" w:ascii="Times New Roman" w:hAnsi="Times New Roman" w:eastAsia="宋体" w:cs="Times New Roman"/>
          <w:sz w:val="24"/>
          <w:lang w:val="en-US" w:eastAsia="zh-CN"/>
        </w:rPr>
        <w:t>提供5*8小时的系统运行维护服务；</w:t>
      </w:r>
    </w:p>
    <w:p w14:paraId="4B2922A8">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（3）</w:t>
      </w:r>
      <w:r>
        <w:rPr>
          <w:rFonts w:hint="eastAsia" w:ascii="Times New Roman" w:hAnsi="Times New Roman" w:eastAsia="宋体" w:cs="Times New Roman"/>
          <w:sz w:val="24"/>
          <w:lang w:val="en-US" w:eastAsia="zh-CN"/>
        </w:rPr>
        <w:t>对日常工作中系统或应用平台技术故障等问题，提供系统或应用平台修复完善服务，保证系统稳定运行；</w:t>
      </w:r>
    </w:p>
    <w:p w14:paraId="587C1E98">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（4）</w:t>
      </w:r>
      <w:r>
        <w:rPr>
          <w:rFonts w:hint="eastAsia" w:ascii="Times New Roman" w:hAnsi="Times New Roman" w:eastAsia="宋体" w:cs="Times New Roman"/>
          <w:sz w:val="24"/>
          <w:lang w:val="en-US" w:eastAsia="zh-CN"/>
        </w:rPr>
        <w:t>提供系统及应用平台等使用、运维相关技术支持、技术培训服务；对存储设备进行定期检查，保证工作的流畅性；</w:t>
      </w:r>
    </w:p>
    <w:p w14:paraId="1744FB29">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（5）</w:t>
      </w:r>
      <w:r>
        <w:rPr>
          <w:rFonts w:hint="eastAsia" w:ascii="Times New Roman" w:hAnsi="Times New Roman" w:eastAsia="宋体" w:cs="Times New Roman"/>
          <w:sz w:val="24"/>
          <w:lang w:val="en-US" w:eastAsia="zh-CN"/>
        </w:rPr>
        <w:t>存储设备等出现故障时，应及时联系生产厂商处理修复；</w:t>
      </w:r>
    </w:p>
    <w:p w14:paraId="6CE5DF6C">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cs="Times New Roman"/>
          <w:sz w:val="24"/>
          <w:lang w:val="en-US" w:eastAsia="zh-CN"/>
        </w:rPr>
        <w:t>（6）</w:t>
      </w:r>
      <w:r>
        <w:rPr>
          <w:rFonts w:hint="eastAsia" w:ascii="Times New Roman" w:hAnsi="Times New Roman" w:eastAsia="宋体" w:cs="Times New Roman"/>
          <w:sz w:val="24"/>
          <w:lang w:val="en-US" w:eastAsia="zh-CN"/>
        </w:rPr>
        <w:t>根据采购人提出的优化或改进意见，对系统或应用平台功能等模块提供优化升级；</w:t>
      </w:r>
    </w:p>
    <w:p w14:paraId="16F83365">
      <w:pPr>
        <w:keepNext w:val="0"/>
        <w:keepLines w:val="0"/>
        <w:pageBreakBefore w:val="0"/>
        <w:widowControl w:val="0"/>
        <w:kinsoku/>
        <w:wordWrap/>
        <w:overflowPunct/>
        <w:topLinePunct/>
        <w:autoSpaceDE/>
        <w:autoSpaceDN/>
        <w:bidi w:val="0"/>
        <w:adjustRightInd/>
        <w:snapToGrid/>
        <w:spacing w:line="360" w:lineRule="auto"/>
        <w:ind w:firstLine="540" w:firstLineChars="225"/>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2.2质量要求：符合国家及省、市有关合格标准，符合采购人有关要求；</w:t>
      </w:r>
    </w:p>
    <w:p w14:paraId="25B6F093">
      <w:pPr>
        <w:keepNext w:val="0"/>
        <w:keepLines w:val="0"/>
        <w:pageBreakBefore w:val="0"/>
        <w:widowControl w:val="0"/>
        <w:numPr>
          <w:ilvl w:val="0"/>
          <w:numId w:val="0"/>
        </w:numPr>
        <w:kinsoku/>
        <w:wordWrap/>
        <w:overflowPunct/>
        <w:topLinePunct/>
        <w:autoSpaceDE/>
        <w:autoSpaceDN/>
        <w:bidi w:val="0"/>
        <w:adjustRightInd/>
        <w:snapToGrid/>
        <w:spacing w:line="360" w:lineRule="auto"/>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
          <w:snapToGrid w:val="0"/>
          <w:color w:val="auto"/>
          <w:kern w:val="0"/>
          <w:sz w:val="24"/>
          <w:szCs w:val="24"/>
          <w:lang w:val="en-US" w:eastAsia="zh-CN" w:bidi="ar-SA"/>
        </w:rPr>
        <w:t>3</w:t>
      </w:r>
      <w:r>
        <w:rPr>
          <w:rFonts w:hint="eastAsia" w:ascii="Times New Roman" w:hAnsi="Times New Roman" w:eastAsia="宋体" w:cs="Times New Roman"/>
          <w:b/>
          <w:snapToGrid w:val="0"/>
          <w:color w:val="auto"/>
          <w:kern w:val="0"/>
          <w:sz w:val="24"/>
          <w:szCs w:val="24"/>
          <w:lang w:val="en-US" w:eastAsia="zh-CN" w:bidi="ar-SA"/>
        </w:rPr>
        <w:t>.</w:t>
      </w:r>
      <w:r>
        <w:rPr>
          <w:rFonts w:hint="eastAsia" w:ascii="Times New Roman" w:hAnsi="Times New Roman" w:eastAsia="宋体" w:cs="Times New Roman"/>
          <w:b/>
          <w:snapToGrid w:val="0"/>
          <w:color w:val="auto"/>
          <w:kern w:val="0"/>
          <w:sz w:val="24"/>
          <w:lang w:val="en-US" w:eastAsia="zh-CN"/>
        </w:rPr>
        <w:t>供应商资格条件</w:t>
      </w:r>
    </w:p>
    <w:p w14:paraId="24928BE1">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bCs/>
          <w:snapToGrid w:val="0"/>
          <w:kern w:val="0"/>
          <w:sz w:val="24"/>
        </w:rPr>
      </w:pPr>
      <w:r>
        <w:rPr>
          <w:rFonts w:hint="eastAsia" w:ascii="Times New Roman" w:hAnsi="Times New Roman" w:eastAsia="宋体" w:cs="Times New Roman"/>
          <w:bCs/>
          <w:snapToGrid w:val="0"/>
          <w:kern w:val="0"/>
          <w:sz w:val="24"/>
        </w:rPr>
        <w:t>3.1本次</w:t>
      </w:r>
      <w:r>
        <w:rPr>
          <w:rFonts w:hint="eastAsia" w:ascii="Times New Roman" w:hAnsi="Times New Roman" w:eastAsia="宋体" w:cs="Times New Roman"/>
          <w:bCs/>
          <w:snapToGrid w:val="0"/>
          <w:kern w:val="0"/>
          <w:sz w:val="24"/>
          <w:lang w:eastAsia="zh-CN"/>
        </w:rPr>
        <w:t>询价</w:t>
      </w:r>
      <w:r>
        <w:rPr>
          <w:rFonts w:hint="eastAsia" w:ascii="Times New Roman" w:hAnsi="Times New Roman" w:eastAsia="宋体" w:cs="Times New Roman"/>
          <w:bCs/>
          <w:snapToGrid w:val="0"/>
          <w:kern w:val="0"/>
          <w:sz w:val="24"/>
        </w:rPr>
        <w:t>采购要求供应商具有独立法人资格，持有工商行政管理部门颁发的有效的营业执照；近</w:t>
      </w:r>
      <w:r>
        <w:rPr>
          <w:rFonts w:hint="eastAsia" w:ascii="Times New Roman" w:hAnsi="Times New Roman" w:eastAsia="宋体" w:cs="Times New Roman"/>
          <w:bCs/>
          <w:snapToGrid w:val="0"/>
          <w:kern w:val="0"/>
          <w:sz w:val="24"/>
          <w:lang w:val="en-US" w:eastAsia="zh-CN"/>
        </w:rPr>
        <w:t>3</w:t>
      </w:r>
      <w:r>
        <w:rPr>
          <w:rFonts w:hint="eastAsia" w:ascii="Times New Roman" w:hAnsi="Times New Roman" w:eastAsia="宋体" w:cs="Times New Roman"/>
          <w:bCs/>
          <w:snapToGrid w:val="0"/>
          <w:kern w:val="0"/>
          <w:sz w:val="24"/>
        </w:rPr>
        <w:t>年内（20</w:t>
      </w:r>
      <w:r>
        <w:rPr>
          <w:rFonts w:hint="eastAsia" w:ascii="Times New Roman" w:hAnsi="Times New Roman" w:eastAsia="宋体" w:cs="Times New Roman"/>
          <w:bCs/>
          <w:snapToGrid w:val="0"/>
          <w:kern w:val="0"/>
          <w:sz w:val="24"/>
          <w:lang w:val="en-US" w:eastAsia="zh-CN"/>
        </w:rPr>
        <w:t>21</w:t>
      </w:r>
      <w:r>
        <w:rPr>
          <w:rFonts w:hint="eastAsia" w:ascii="Times New Roman" w:hAnsi="Times New Roman" w:eastAsia="宋体" w:cs="Times New Roman"/>
          <w:bCs/>
          <w:snapToGrid w:val="0"/>
          <w:kern w:val="0"/>
          <w:sz w:val="24"/>
        </w:rPr>
        <w:t>年</w:t>
      </w:r>
      <w:r>
        <w:rPr>
          <w:rFonts w:hint="eastAsia" w:ascii="Times New Roman" w:hAnsi="Times New Roman" w:eastAsia="宋体" w:cs="Times New Roman"/>
          <w:bCs/>
          <w:snapToGrid w:val="0"/>
          <w:kern w:val="0"/>
          <w:sz w:val="24"/>
          <w:lang w:val="en-US" w:eastAsia="zh-CN"/>
        </w:rPr>
        <w:t>6</w:t>
      </w:r>
      <w:r>
        <w:rPr>
          <w:rFonts w:hint="eastAsia" w:ascii="Times New Roman" w:hAnsi="Times New Roman" w:eastAsia="宋体" w:cs="Times New Roman"/>
          <w:bCs/>
          <w:snapToGrid w:val="0"/>
          <w:kern w:val="0"/>
          <w:sz w:val="24"/>
        </w:rPr>
        <w:t>月1日至递交响应文件截止之日止）至少独立承揽过</w:t>
      </w:r>
      <w:r>
        <w:rPr>
          <w:rFonts w:hint="eastAsia" w:ascii="Times New Roman" w:hAnsi="Times New Roman" w:eastAsia="宋体" w:cs="Times New Roman"/>
          <w:bCs/>
          <w:snapToGrid w:val="0"/>
          <w:kern w:val="0"/>
          <w:sz w:val="24"/>
          <w:lang w:val="en-US" w:eastAsia="zh-CN"/>
        </w:rPr>
        <w:t>1项地质雷达数据系统搭建或系统升级改造或地质雷达配套类软件销售项目</w:t>
      </w:r>
      <w:r>
        <w:rPr>
          <w:rFonts w:hint="eastAsia" w:ascii="Times New Roman" w:hAnsi="Times New Roman" w:eastAsia="宋体" w:cs="Times New Roman"/>
          <w:bCs/>
          <w:snapToGrid w:val="0"/>
          <w:kern w:val="0"/>
          <w:sz w:val="24"/>
        </w:rPr>
        <w:t>，在人员、设备、信誉等方面具有相应的服务能力。</w:t>
      </w:r>
    </w:p>
    <w:p w14:paraId="1B7F385D">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bCs/>
          <w:snapToGrid w:val="0"/>
          <w:kern w:val="0"/>
          <w:sz w:val="24"/>
        </w:rPr>
      </w:pPr>
      <w:r>
        <w:rPr>
          <w:rFonts w:hint="eastAsia" w:ascii="Times New Roman" w:hAnsi="Times New Roman" w:eastAsia="宋体" w:cs="Times New Roman"/>
          <w:bCs/>
          <w:snapToGrid w:val="0"/>
          <w:kern w:val="0"/>
          <w:sz w:val="24"/>
        </w:rPr>
        <w:t>3.2本次</w:t>
      </w:r>
      <w:r>
        <w:rPr>
          <w:rFonts w:hint="eastAsia" w:ascii="Times New Roman" w:hAnsi="Times New Roman" w:eastAsia="宋体" w:cs="Times New Roman"/>
          <w:bCs/>
          <w:snapToGrid w:val="0"/>
          <w:kern w:val="0"/>
          <w:sz w:val="24"/>
          <w:lang w:eastAsia="zh-CN"/>
        </w:rPr>
        <w:t>询价</w:t>
      </w:r>
      <w:r>
        <w:rPr>
          <w:rFonts w:hint="eastAsia" w:ascii="Times New Roman" w:hAnsi="Times New Roman" w:eastAsia="宋体" w:cs="Times New Roman"/>
          <w:bCs/>
          <w:snapToGrid w:val="0"/>
          <w:kern w:val="0"/>
          <w:sz w:val="24"/>
        </w:rPr>
        <w:t>不接受联合体报价。</w:t>
      </w:r>
    </w:p>
    <w:p w14:paraId="1BEA94EF">
      <w:pPr>
        <w:keepNext w:val="0"/>
        <w:keepLines w:val="0"/>
        <w:pageBreakBefore w:val="0"/>
        <w:widowControl w:val="0"/>
        <w:kinsoku/>
        <w:wordWrap/>
        <w:overflowPunct/>
        <w:topLinePunct/>
        <w:autoSpaceDE/>
        <w:autoSpaceDN/>
        <w:bidi w:val="0"/>
        <w:adjustRightInd/>
        <w:snapToGrid/>
        <w:spacing w:line="360" w:lineRule="auto"/>
        <w:ind w:firstLine="480" w:firstLineChars="20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Cs/>
          <w:snapToGrid w:val="0"/>
          <w:kern w:val="0"/>
          <w:sz w:val="24"/>
        </w:rPr>
        <w:t>3.3与采购人存在利害关系可能影响</w:t>
      </w:r>
      <w:r>
        <w:rPr>
          <w:rFonts w:hint="eastAsia" w:ascii="Times New Roman" w:hAnsi="Times New Roman" w:eastAsia="宋体" w:cs="Times New Roman"/>
          <w:bCs/>
          <w:snapToGrid w:val="0"/>
          <w:kern w:val="0"/>
          <w:sz w:val="24"/>
          <w:lang w:eastAsia="zh-CN"/>
        </w:rPr>
        <w:t>询价</w:t>
      </w:r>
      <w:r>
        <w:rPr>
          <w:rFonts w:hint="eastAsia" w:ascii="Times New Roman" w:hAnsi="Times New Roman" w:eastAsia="宋体" w:cs="Times New Roman"/>
          <w:bCs/>
          <w:snapToGrid w:val="0"/>
          <w:kern w:val="0"/>
          <w:sz w:val="24"/>
        </w:rPr>
        <w:t>公正性的法人，不得参加报价；若存在单位负责人</w:t>
      </w:r>
      <w:r>
        <w:rPr>
          <w:rFonts w:hint="eastAsia" w:ascii="Times New Roman" w:hAnsi="Times New Roman" w:eastAsia="宋体" w:cs="Times New Roman"/>
          <w:bCs/>
          <w:snapToGrid w:val="0"/>
          <w:kern w:val="0"/>
          <w:sz w:val="24"/>
          <w:vertAlign w:val="superscript"/>
        </w:rPr>
        <w:footnoteReference w:id="0"/>
      </w:r>
      <w:r>
        <w:rPr>
          <w:rFonts w:hint="eastAsia" w:ascii="Times New Roman" w:hAnsi="Times New Roman" w:eastAsia="宋体" w:cs="Times New Roman"/>
          <w:bCs/>
          <w:snapToGrid w:val="0"/>
          <w:kern w:val="0"/>
          <w:sz w:val="24"/>
        </w:rPr>
        <w:t>为同一人、或者存</w:t>
      </w:r>
      <w:bookmarkStart w:id="5" w:name="_GoBack"/>
      <w:bookmarkEnd w:id="5"/>
      <w:r>
        <w:rPr>
          <w:rFonts w:hint="eastAsia" w:ascii="Times New Roman" w:hAnsi="Times New Roman" w:eastAsia="宋体" w:cs="Times New Roman"/>
          <w:bCs/>
          <w:snapToGrid w:val="0"/>
          <w:kern w:val="0"/>
          <w:sz w:val="24"/>
        </w:rPr>
        <w:t>在控股</w:t>
      </w:r>
      <w:r>
        <w:rPr>
          <w:rFonts w:hint="eastAsia" w:ascii="Times New Roman" w:hAnsi="Times New Roman" w:eastAsia="宋体" w:cs="Times New Roman"/>
          <w:bCs/>
          <w:snapToGrid w:val="0"/>
          <w:kern w:val="0"/>
          <w:sz w:val="24"/>
          <w:vertAlign w:val="superscript"/>
        </w:rPr>
        <w:footnoteReference w:id="1"/>
      </w:r>
      <w:r>
        <w:rPr>
          <w:rFonts w:hint="eastAsia" w:ascii="Times New Roman" w:hAnsi="Times New Roman" w:eastAsia="宋体" w:cs="Times New Roman"/>
          <w:bCs/>
          <w:snapToGrid w:val="0"/>
          <w:kern w:val="0"/>
          <w:sz w:val="24"/>
        </w:rPr>
        <w:t>、管理关系</w:t>
      </w:r>
      <w:r>
        <w:rPr>
          <w:rFonts w:hint="eastAsia" w:ascii="Times New Roman" w:hAnsi="Times New Roman" w:eastAsia="宋体" w:cs="Times New Roman"/>
          <w:bCs/>
          <w:snapToGrid w:val="0"/>
          <w:kern w:val="0"/>
          <w:sz w:val="24"/>
          <w:vertAlign w:val="superscript"/>
        </w:rPr>
        <w:footnoteReference w:id="2"/>
      </w:r>
      <w:r>
        <w:rPr>
          <w:rFonts w:hint="eastAsia" w:ascii="Times New Roman" w:hAnsi="Times New Roman" w:eastAsia="宋体" w:cs="Times New Roman"/>
          <w:bCs/>
          <w:snapToGrid w:val="0"/>
          <w:kern w:val="0"/>
          <w:sz w:val="24"/>
        </w:rPr>
        <w:t>的不同单位、不得同时参加本次</w:t>
      </w:r>
      <w:r>
        <w:rPr>
          <w:rFonts w:hint="eastAsia" w:ascii="Times New Roman" w:hAnsi="Times New Roman" w:eastAsia="宋体" w:cs="Times New Roman"/>
          <w:bCs/>
          <w:snapToGrid w:val="0"/>
          <w:kern w:val="0"/>
          <w:sz w:val="24"/>
          <w:lang w:eastAsia="zh-CN"/>
        </w:rPr>
        <w:t>询价</w:t>
      </w:r>
      <w:r>
        <w:rPr>
          <w:rFonts w:hint="eastAsia" w:ascii="Times New Roman" w:hAnsi="Times New Roman" w:eastAsia="宋体" w:cs="Times New Roman"/>
          <w:bCs/>
          <w:snapToGrid w:val="0"/>
          <w:kern w:val="0"/>
          <w:sz w:val="24"/>
        </w:rPr>
        <w:t>项目的报价，否则均按</w:t>
      </w:r>
      <w:r>
        <w:rPr>
          <w:rFonts w:hint="eastAsia" w:ascii="Times New Roman" w:hAnsi="Times New Roman" w:eastAsia="宋体" w:cs="Times New Roman"/>
          <w:bCs/>
          <w:snapToGrid w:val="0"/>
          <w:kern w:val="0"/>
          <w:sz w:val="24"/>
          <w:lang w:val="en-US" w:eastAsia="zh-CN"/>
        </w:rPr>
        <w:t>无效响应</w:t>
      </w:r>
      <w:r>
        <w:rPr>
          <w:rFonts w:hint="eastAsia" w:ascii="Times New Roman" w:hAnsi="Times New Roman" w:eastAsia="宋体" w:cs="Times New Roman"/>
          <w:bCs/>
          <w:snapToGrid w:val="0"/>
          <w:kern w:val="0"/>
          <w:sz w:val="24"/>
        </w:rPr>
        <w:t>处理。</w:t>
      </w:r>
    </w:p>
    <w:p w14:paraId="22513E11">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ascii="Times New Roman" w:hAnsi="Times New Roman" w:eastAsia="宋体" w:cs="Times New Roman"/>
          <w:b/>
          <w:snapToGrid w:val="0"/>
          <w:color w:val="auto"/>
          <w:kern w:val="0"/>
          <w:sz w:val="24"/>
        </w:rPr>
      </w:pPr>
      <w:r>
        <w:rPr>
          <w:rFonts w:hint="eastAsia"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1B8677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4</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9</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29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970E3A">
      <w:pPr>
        <w:keepNext w:val="0"/>
        <w:keepLines w:val="0"/>
        <w:pageBreakBefore w:val="0"/>
        <w:widowControl w:val="0"/>
        <w:kinsoku/>
        <w:wordWrap/>
        <w:overflowPunct/>
        <w:topLinePunct/>
        <w:autoSpaceDE/>
        <w:autoSpaceDN/>
        <w:bidi w:val="0"/>
        <w:adjustRightInd/>
        <w:snapToGrid/>
        <w:spacing w:line="360" w:lineRule="auto"/>
        <w:textAlignment w:val="auto"/>
        <w:outlineLvl w:val="1"/>
        <w:rPr>
          <w:rFonts w:ascii="Times New Roman" w:hAnsi="Times New Roman" w:eastAsia="宋体" w:cs="Times New Roman"/>
          <w:b/>
          <w:snapToGrid w:val="0"/>
          <w:color w:val="000000"/>
          <w:kern w:val="0"/>
          <w:sz w:val="24"/>
        </w:rPr>
      </w:pPr>
      <w:bookmarkStart w:id="2" w:name="_Toc332793818"/>
      <w:bookmarkStart w:id="3" w:name="_Toc332965960"/>
      <w:bookmarkStart w:id="4" w:name="_Toc332793891"/>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41F037FB">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77C72CA0">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1801247">
      <w:pPr>
        <w:keepNext w:val="0"/>
        <w:keepLines w:val="0"/>
        <w:pageBreakBefore w:val="0"/>
        <w:widowControl w:val="0"/>
        <w:kinsoku/>
        <w:wordWrap/>
        <w:overflowPunct/>
        <w:topLinePunct/>
        <w:autoSpaceDE/>
        <w:autoSpaceDN/>
        <w:bidi w:val="0"/>
        <w:adjustRightInd/>
        <w:snapToGrid/>
        <w:spacing w:line="360" w:lineRule="auto"/>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0B458566">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0401E9EC">
      <w:pPr>
        <w:keepNext w:val="0"/>
        <w:keepLines w:val="0"/>
        <w:pageBreakBefore w:val="0"/>
        <w:widowControl w:val="0"/>
        <w:kinsoku/>
        <w:wordWrap/>
        <w:overflowPunct/>
        <w:topLinePunct/>
        <w:autoSpaceDE/>
        <w:autoSpaceDN/>
        <w:bidi w:val="0"/>
        <w:adjustRightInd/>
        <w:snapToGrid/>
        <w:spacing w:line="360" w:lineRule="auto"/>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0B4C8869">
      <w:pPr>
        <w:keepNext w:val="0"/>
        <w:keepLines w:val="0"/>
        <w:pageBreakBefore w:val="0"/>
        <w:widowControl w:val="0"/>
        <w:kinsoku/>
        <w:wordWrap/>
        <w:overflowPunct/>
        <w:topLinePunct/>
        <w:autoSpaceDE/>
        <w:autoSpaceDN/>
        <w:bidi w:val="0"/>
        <w:adjustRightInd/>
        <w:snapToGrid/>
        <w:spacing w:line="360" w:lineRule="auto"/>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54BAD817">
      <w:pPr>
        <w:keepNext w:val="0"/>
        <w:keepLines w:val="0"/>
        <w:pageBreakBefore w:val="0"/>
        <w:widowControl w:val="0"/>
        <w:kinsoku/>
        <w:wordWrap/>
        <w:overflowPunct/>
        <w:topLinePunct/>
        <w:autoSpaceDE/>
        <w:autoSpaceDN/>
        <w:bidi w:val="0"/>
        <w:adjustRightInd/>
        <w:snapToGrid/>
        <w:spacing w:line="360" w:lineRule="auto"/>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4</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9</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25 </w:t>
      </w:r>
      <w:r>
        <w:rPr>
          <w:rFonts w:hint="eastAsia" w:ascii="Times New Roman" w:hAnsi="Times New Roman" w:eastAsia="宋体" w:cs="Times New Roman"/>
          <w:color w:val="000000"/>
          <w:sz w:val="24"/>
          <w:highlight w:val="none"/>
        </w:rPr>
        <w:t>日</w:t>
      </w:r>
    </w:p>
    <w:p w14:paraId="207FEAC6">
      <w:r>
        <w:br w:type="page"/>
      </w:r>
    </w:p>
    <w:p w14:paraId="14909315">
      <w:pPr>
        <w:pStyle w:val="6"/>
      </w:pPr>
    </w:p>
    <w:p w14:paraId="156093AC">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1E72B875">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3AD268F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2B8BA81">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道路雷达数据AI自动化分析系统采购服务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F42D29C">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465B0D8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F4D896">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621251ED">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p>
    <w:p w14:paraId="58911D6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42FE8D40">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4BB8FD45">
      <w:pPr>
        <w:jc w:val="right"/>
        <w:rPr>
          <w:rFonts w:hint="eastAsia" w:ascii="仿宋" w:hAnsi="仿宋" w:eastAsia="仿宋" w:cs="仿宋"/>
          <w:sz w:val="28"/>
          <w:szCs w:val="28"/>
          <w:highlight w:val="none"/>
        </w:rPr>
      </w:pPr>
    </w:p>
    <w:p w14:paraId="36426E14">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3D3898A7"/>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02AD066A">
      <w:pPr>
        <w:pStyle w:val="8"/>
        <w:spacing w:line="240" w:lineRule="auto"/>
        <w:ind w:firstLine="261"/>
        <w:rPr>
          <w:rFonts w:hint="eastAsia"/>
          <w:szCs w:val="18"/>
        </w:rPr>
      </w:pPr>
      <w:r>
        <w:rPr>
          <w:rStyle w:val="12"/>
          <w:szCs w:val="18"/>
        </w:rPr>
        <w:footnoteRef/>
      </w:r>
      <w:r>
        <w:rPr>
          <w:rFonts w:hint="eastAsia"/>
          <w:szCs w:val="18"/>
        </w:rPr>
        <w:t>单位负责人是指单位的法定代表人或者法律、行政法规规定代表单位行使职权的主要负责人。</w:t>
      </w:r>
    </w:p>
  </w:footnote>
  <w:footnote w:id="1">
    <w:p w14:paraId="55C216B0">
      <w:pPr>
        <w:pStyle w:val="8"/>
        <w:spacing w:line="240" w:lineRule="auto"/>
        <w:ind w:firstLine="261"/>
        <w:rPr>
          <w:rFonts w:hint="eastAsia"/>
          <w:szCs w:val="18"/>
        </w:rPr>
      </w:pPr>
      <w:r>
        <w:rPr>
          <w:rStyle w:val="12"/>
          <w:szCs w:val="18"/>
        </w:rPr>
        <w:footnoteRef/>
      </w:r>
      <w:r>
        <w:rPr>
          <w:rFonts w:hint="eastAsia"/>
          <w:szCs w:val="18"/>
        </w:rPr>
        <w:t>控股是指股份占股份有限公司股本总额的50%以上的绝对控股、相对控股或协议控股。</w:t>
      </w:r>
    </w:p>
  </w:footnote>
  <w:footnote w:id="2">
    <w:p w14:paraId="034C9FAC">
      <w:pPr>
        <w:pStyle w:val="8"/>
        <w:spacing w:line="240" w:lineRule="auto"/>
        <w:ind w:firstLine="261"/>
        <w:rPr>
          <w:rFonts w:hint="eastAsia"/>
          <w:szCs w:val="18"/>
        </w:rPr>
      </w:pPr>
      <w:r>
        <w:rPr>
          <w:rStyle w:val="12"/>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4D2B19"/>
    <w:multiLevelType w:val="singleLevel"/>
    <w:tmpl w:val="994D2B19"/>
    <w:lvl w:ilvl="0" w:tentative="0">
      <w:start w:val="1"/>
      <w:numFmt w:val="decimal"/>
      <w:suff w:val="nothing"/>
      <w:lvlText w:val="%1、"/>
      <w:lvlJc w:val="left"/>
    </w:lvl>
  </w:abstractNum>
  <w:abstractNum w:abstractNumId="1">
    <w:nsid w:val="A601EA8C"/>
    <w:multiLevelType w:val="singleLevel"/>
    <w:tmpl w:val="A601EA8C"/>
    <w:lvl w:ilvl="0" w:tentative="0">
      <w:start w:val="1"/>
      <w:numFmt w:val="decimal"/>
      <w:suff w:val="nothing"/>
      <w:lvlText w:val="%1、"/>
      <w:lvlJc w:val="left"/>
    </w:lvl>
  </w:abstractNum>
  <w:abstractNum w:abstractNumId="2">
    <w:nsid w:val="B3DFE24E"/>
    <w:multiLevelType w:val="singleLevel"/>
    <w:tmpl w:val="B3DFE24E"/>
    <w:lvl w:ilvl="0" w:tentative="0">
      <w:start w:val="1"/>
      <w:numFmt w:val="decimal"/>
      <w:suff w:val="nothing"/>
      <w:lvlText w:val="%1、"/>
      <w:lvlJc w:val="left"/>
    </w:lvl>
  </w:abstractNum>
  <w:abstractNum w:abstractNumId="3">
    <w:nsid w:val="D24E4AD8"/>
    <w:multiLevelType w:val="singleLevel"/>
    <w:tmpl w:val="D24E4AD8"/>
    <w:lvl w:ilvl="0" w:tentative="0">
      <w:start w:val="1"/>
      <w:numFmt w:val="decimal"/>
      <w:suff w:val="nothing"/>
      <w:lvlText w:val="%1、"/>
      <w:lvlJc w:val="left"/>
    </w:lvl>
  </w:abstractNum>
  <w:abstractNum w:abstractNumId="4">
    <w:nsid w:val="DFD3698B"/>
    <w:multiLevelType w:val="singleLevel"/>
    <w:tmpl w:val="DFD3698B"/>
    <w:lvl w:ilvl="0" w:tentative="0">
      <w:start w:val="1"/>
      <w:numFmt w:val="decimal"/>
      <w:suff w:val="nothing"/>
      <w:lvlText w:val="%1、"/>
      <w:lvlJc w:val="left"/>
    </w:lvl>
  </w:abstractNum>
  <w:abstractNum w:abstractNumId="5">
    <w:nsid w:val="E12810E5"/>
    <w:multiLevelType w:val="singleLevel"/>
    <w:tmpl w:val="E12810E5"/>
    <w:lvl w:ilvl="0" w:tentative="0">
      <w:start w:val="1"/>
      <w:numFmt w:val="decimal"/>
      <w:suff w:val="nothing"/>
      <w:lvlText w:val="%1、"/>
      <w:lvlJc w:val="left"/>
    </w:lvl>
  </w:abstractNum>
  <w:abstractNum w:abstractNumId="6">
    <w:nsid w:val="EF8D203B"/>
    <w:multiLevelType w:val="singleLevel"/>
    <w:tmpl w:val="EF8D203B"/>
    <w:lvl w:ilvl="0" w:tentative="0">
      <w:start w:val="1"/>
      <w:numFmt w:val="decimal"/>
      <w:suff w:val="nothing"/>
      <w:lvlText w:val="%1、"/>
      <w:lvlJc w:val="left"/>
    </w:lvl>
  </w:abstractNum>
  <w:abstractNum w:abstractNumId="7">
    <w:nsid w:val="F241519C"/>
    <w:multiLevelType w:val="singleLevel"/>
    <w:tmpl w:val="F241519C"/>
    <w:lvl w:ilvl="0" w:tentative="0">
      <w:start w:val="1"/>
      <w:numFmt w:val="decimal"/>
      <w:suff w:val="nothing"/>
      <w:lvlText w:val="%1、"/>
      <w:lvlJc w:val="left"/>
    </w:lvl>
  </w:abstractNum>
  <w:abstractNum w:abstractNumId="8">
    <w:nsid w:val="10A18DD0"/>
    <w:multiLevelType w:val="singleLevel"/>
    <w:tmpl w:val="10A18DD0"/>
    <w:lvl w:ilvl="0" w:tentative="0">
      <w:start w:val="1"/>
      <w:numFmt w:val="decimal"/>
      <w:suff w:val="nothing"/>
      <w:lvlText w:val="%1、"/>
      <w:lvlJc w:val="left"/>
    </w:lvl>
  </w:abstractNum>
  <w:abstractNum w:abstractNumId="9">
    <w:nsid w:val="19ED7C71"/>
    <w:multiLevelType w:val="singleLevel"/>
    <w:tmpl w:val="19ED7C71"/>
    <w:lvl w:ilvl="0" w:tentative="0">
      <w:start w:val="1"/>
      <w:numFmt w:val="decimal"/>
      <w:suff w:val="nothing"/>
      <w:lvlText w:val="%1、"/>
      <w:lvlJc w:val="left"/>
    </w:lvl>
  </w:abstractNum>
  <w:abstractNum w:abstractNumId="10">
    <w:nsid w:val="3744077C"/>
    <w:multiLevelType w:val="singleLevel"/>
    <w:tmpl w:val="3744077C"/>
    <w:lvl w:ilvl="0" w:tentative="0">
      <w:start w:val="1"/>
      <w:numFmt w:val="decimal"/>
      <w:suff w:val="nothing"/>
      <w:lvlText w:val="%1、"/>
      <w:lvlJc w:val="left"/>
    </w:lvl>
  </w:abstractNum>
  <w:abstractNum w:abstractNumId="11">
    <w:nsid w:val="3AA24105"/>
    <w:multiLevelType w:val="singleLevel"/>
    <w:tmpl w:val="3AA24105"/>
    <w:lvl w:ilvl="0" w:tentative="0">
      <w:start w:val="1"/>
      <w:numFmt w:val="decimal"/>
      <w:suff w:val="nothing"/>
      <w:lvlText w:val="%1、"/>
      <w:lvlJc w:val="left"/>
    </w:lvl>
  </w:abstractNum>
  <w:abstractNum w:abstractNumId="12">
    <w:nsid w:val="490E1F9D"/>
    <w:multiLevelType w:val="singleLevel"/>
    <w:tmpl w:val="490E1F9D"/>
    <w:lvl w:ilvl="0" w:tentative="0">
      <w:start w:val="1"/>
      <w:numFmt w:val="decimal"/>
      <w:suff w:val="nothing"/>
      <w:lvlText w:val="%1、"/>
      <w:lvlJc w:val="left"/>
    </w:lvl>
  </w:abstractNum>
  <w:abstractNum w:abstractNumId="13">
    <w:nsid w:val="66FFA14D"/>
    <w:multiLevelType w:val="singleLevel"/>
    <w:tmpl w:val="66FFA14D"/>
    <w:lvl w:ilvl="0" w:tentative="0">
      <w:start w:val="1"/>
      <w:numFmt w:val="decimal"/>
      <w:suff w:val="nothing"/>
      <w:lvlText w:val="%1、"/>
      <w:lvlJc w:val="left"/>
    </w:lvl>
  </w:abstractNum>
  <w:abstractNum w:abstractNumId="14">
    <w:nsid w:val="737AC58D"/>
    <w:multiLevelType w:val="singleLevel"/>
    <w:tmpl w:val="737AC58D"/>
    <w:lvl w:ilvl="0" w:tentative="0">
      <w:start w:val="1"/>
      <w:numFmt w:val="decimal"/>
      <w:suff w:val="nothing"/>
      <w:lvlText w:val="%1、"/>
      <w:lvlJc w:val="left"/>
    </w:lvl>
  </w:abstractNum>
  <w:abstractNum w:abstractNumId="15">
    <w:nsid w:val="7CA06515"/>
    <w:multiLevelType w:val="singleLevel"/>
    <w:tmpl w:val="7CA06515"/>
    <w:lvl w:ilvl="0" w:tentative="0">
      <w:start w:val="1"/>
      <w:numFmt w:val="decimal"/>
      <w:suff w:val="nothing"/>
      <w:lvlText w:val="%1、"/>
      <w:lvlJc w:val="left"/>
    </w:lvl>
  </w:abstractNum>
  <w:num w:numId="1">
    <w:abstractNumId w:val="8"/>
  </w:num>
  <w:num w:numId="2">
    <w:abstractNumId w:val="15"/>
  </w:num>
  <w:num w:numId="3">
    <w:abstractNumId w:val="12"/>
  </w:num>
  <w:num w:numId="4">
    <w:abstractNumId w:val="9"/>
  </w:num>
  <w:num w:numId="5">
    <w:abstractNumId w:val="13"/>
  </w:num>
  <w:num w:numId="6">
    <w:abstractNumId w:val="11"/>
  </w:num>
  <w:num w:numId="7">
    <w:abstractNumId w:val="5"/>
  </w:num>
  <w:num w:numId="8">
    <w:abstractNumId w:val="3"/>
  </w:num>
  <w:num w:numId="9">
    <w:abstractNumId w:val="7"/>
  </w:num>
  <w:num w:numId="10">
    <w:abstractNumId w:val="2"/>
  </w:num>
  <w:num w:numId="11">
    <w:abstractNumId w:val="10"/>
  </w:num>
  <w:num w:numId="12">
    <w:abstractNumId w:val="0"/>
  </w:num>
  <w:num w:numId="13">
    <w:abstractNumId w:val="4"/>
  </w:num>
  <w:num w:numId="14">
    <w:abstractNumId w:val="1"/>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61C76EF"/>
    <w:rsid w:val="09BF36B9"/>
    <w:rsid w:val="0A69025B"/>
    <w:rsid w:val="0C5566B6"/>
    <w:rsid w:val="0C5D3886"/>
    <w:rsid w:val="0E107158"/>
    <w:rsid w:val="123E483B"/>
    <w:rsid w:val="12ED5CBA"/>
    <w:rsid w:val="14A057C0"/>
    <w:rsid w:val="14B45F2D"/>
    <w:rsid w:val="1659344F"/>
    <w:rsid w:val="18A64941"/>
    <w:rsid w:val="18B434EF"/>
    <w:rsid w:val="19152A58"/>
    <w:rsid w:val="1F6E04B3"/>
    <w:rsid w:val="214C6B85"/>
    <w:rsid w:val="22DD5403"/>
    <w:rsid w:val="346E2270"/>
    <w:rsid w:val="357B5ACE"/>
    <w:rsid w:val="38592295"/>
    <w:rsid w:val="39861D09"/>
    <w:rsid w:val="3A820887"/>
    <w:rsid w:val="41497287"/>
    <w:rsid w:val="47B53AE6"/>
    <w:rsid w:val="4B6A7489"/>
    <w:rsid w:val="4F3223B5"/>
    <w:rsid w:val="50460DCD"/>
    <w:rsid w:val="517D31EE"/>
    <w:rsid w:val="554A1DC5"/>
    <w:rsid w:val="573C7DA8"/>
    <w:rsid w:val="57BF2D4E"/>
    <w:rsid w:val="5AF52F61"/>
    <w:rsid w:val="5CAE663E"/>
    <w:rsid w:val="63166D1A"/>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02"/>
    </w:pPr>
  </w:style>
  <w:style w:type="paragraph" w:styleId="3">
    <w:name w:val="Body Text"/>
    <w:basedOn w:val="1"/>
    <w:qFormat/>
    <w:uiPriority w:val="1"/>
    <w:pPr>
      <w:ind w:left="118"/>
    </w:pPr>
    <w:rPr>
      <w:rFonts w:ascii="宋体" w:hAnsi="宋体"/>
      <w:szCs w:val="21"/>
    </w:rPr>
  </w:style>
  <w:style w:type="paragraph" w:styleId="4">
    <w:name w:val="Body Text First Indent"/>
    <w:basedOn w:val="1"/>
    <w:next w:val="5"/>
    <w:unhideWhenUsed/>
    <w:qFormat/>
    <w:uiPriority w:val="99"/>
    <w:pPr>
      <w:ind w:firstLine="880"/>
    </w:pPr>
  </w:style>
  <w:style w:type="paragraph" w:styleId="5">
    <w:name w:val="Body Text Indent 2"/>
    <w:basedOn w:val="1"/>
    <w:qFormat/>
    <w:uiPriority w:val="0"/>
    <w:pPr>
      <w:spacing w:after="120" w:line="480" w:lineRule="auto"/>
      <w:ind w:left="420" w:leftChars="200"/>
    </w:pPr>
  </w:style>
  <w:style w:type="paragraph" w:styleId="6">
    <w:name w:val="Normal Indent"/>
    <w:basedOn w:val="1"/>
    <w:next w:val="1"/>
    <w:autoRedefine/>
    <w:qFormat/>
    <w:uiPriority w:val="99"/>
    <w:pPr>
      <w:ind w:firstLine="420" w:firstLineChars="200"/>
    </w:pPr>
  </w:style>
  <w:style w:type="paragraph" w:styleId="7">
    <w:name w:val="Plain Text"/>
    <w:basedOn w:val="1"/>
    <w:next w:val="1"/>
    <w:autoRedefine/>
    <w:qFormat/>
    <w:uiPriority w:val="0"/>
    <w:rPr>
      <w:rFonts w:ascii="宋体" w:hAnsi="Courier New"/>
      <w:szCs w:val="20"/>
    </w:rPr>
  </w:style>
  <w:style w:type="paragraph" w:styleId="8">
    <w:name w:val="footnote text"/>
    <w:basedOn w:val="1"/>
    <w:autoRedefine/>
    <w:qFormat/>
    <w:uiPriority w:val="0"/>
    <w:pPr>
      <w:adjustRightInd w:val="0"/>
      <w:snapToGrid w:val="0"/>
      <w:spacing w:line="420" w:lineRule="atLeast"/>
      <w:ind w:firstLine="454"/>
      <w:jc w:val="left"/>
      <w:textAlignment w:val="baseline"/>
    </w:pPr>
    <w:rPr>
      <w:kern w:val="0"/>
      <w:sz w:val="18"/>
      <w:szCs w:val="20"/>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otnote reference"/>
    <w:autoRedefin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4547</Words>
  <Characters>4934</Characters>
  <Lines>0</Lines>
  <Paragraphs>0</Paragraphs>
  <TotalTime>8</TotalTime>
  <ScaleCrop>false</ScaleCrop>
  <LinksUpToDate>false</LinksUpToDate>
  <CharactersWithSpaces>5140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2024-04-12T01:43:00Z</cp:lastPrinted>
  <dcterms:modified xsi:type="dcterms:W3CDTF">2024-09-25T00:35:17Z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B75484C30A0D48A998196F431A9A3E69</vt:lpwstr>
  </property>
</Properties>
</file>